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Enron appreciates the opportunity to comment upon the ingredients that are critical to the creation of a competitive market.  In the current Indian power sector context, it is very important that the Electricity Bill provide a blueprint for legitimate competitive markets because, in Enron’s view, it is only competitive markets that will: a) attract additional investment in magnitudes substantial enough to address the colossal needs of the Indian economy and its developmental efforts, b) counter balance, in an orderly fashion, the ramifications of the financial position of the State Electricity Boards.</w:t>
      </w:r>
    </w:p>
    <w:p>
      <w:pPr>
        <w:pStyle w:val="BodyText"/>
        <w:rPr/>
      </w:pPr>
      <w:r>
        <w:rPr/>
      </w:r>
    </w:p>
    <w:p>
      <w:pPr>
        <w:pStyle w:val="BodyText"/>
        <w:rPr/>
      </w:pPr>
      <w:r>
        <w:rPr/>
        <w:t>State Governments have been advised by various financial institutions that the creation of regulators and the accounting unbundling of SEBs are what “reform” requires; without these steps, investment will not find its way to India.  It is Enron’s strong view that these two steps, while in the right direction, are outside the context of competitive markets and will be completely ineffective by themselves in providing the urgently required solutions. Without the passage and implementation of an Electricity Bill that clearly sets forth a blueprint for full and complete restructuring of India’s markets in the competitive market mold, direct national and foreign capital will not be attracted to the electricity sector.  If less than the full package competitive market is created, no one will be satisfied: critics will maintain that “reforms” and “liberalisation” didn’t work, the power shortage will remain unrelieved as additional investments in generation and transmission/distribution will not take place, and the SEBs will remain mired in the inefficiencies that have made them financially unviable.  Of course, once competitive markets are created, they must be left alone to function without undue governmental or regulatory interference.</w:t>
      </w:r>
    </w:p>
    <w:p>
      <w:pPr>
        <w:pStyle w:val="BodyText"/>
        <w:rPr/>
      </w:pPr>
      <w:r>
        <w:rPr/>
      </w:r>
    </w:p>
    <w:p>
      <w:pPr>
        <w:pStyle w:val="BodyText"/>
        <w:rPr/>
      </w:pPr>
      <w:r>
        <w:rPr/>
        <w:t>There are five critical</w:t>
      </w:r>
      <w:r>
        <w:rPr>
          <w:i/>
        </w:rPr>
        <w:t xml:space="preserve"> </w:t>
      </w:r>
      <w:r>
        <w:rPr/>
        <w:t xml:space="preserve">ingredients that must be present in any market restructuring.  What immediately follows is a description of those elements that constitute the salient features of a fully effective, functional, and productive restructured electricity market. If these elements are not fully present in a market restructuring blueprint, there can not and will not be competition. </w:t>
      </w:r>
    </w:p>
    <w:p>
      <w:pPr>
        <w:pStyle w:val="BodyText"/>
        <w:rPr/>
      </w:pPr>
      <w:r>
        <w:rPr/>
      </w:r>
    </w:p>
    <w:p>
      <w:pPr>
        <w:pStyle w:val="BodyText"/>
        <w:rPr>
          <w:b/>
        </w:rPr>
      </w:pPr>
      <w:r>
        <w:rPr>
          <w:b/>
        </w:rPr>
        <w:t>Five Critical Elements of Competitive Markets</w:t>
      </w:r>
    </w:p>
    <w:p>
      <w:pPr>
        <w:pStyle w:val="BodyText"/>
        <w:rPr/>
      </w:pPr>
      <w:r>
        <w:rPr/>
      </w:r>
    </w:p>
    <w:p>
      <w:pPr>
        <w:pStyle w:val="BodyText"/>
        <w:numPr>
          <w:ilvl w:val="0"/>
          <w:numId w:val="3"/>
        </w:numPr>
        <w:rPr>
          <w:u w:val="single"/>
        </w:rPr>
      </w:pPr>
      <w:r>
        <w:rPr>
          <w:i/>
        </w:rPr>
        <w:t>Full Functional Separation of Generation, Transmission and Distribution Activities.</w:t>
      </w:r>
      <w:r>
        <w:rPr/>
        <w:t xml:space="preserve">  The functional separation of the SEBs into separate, corporatized business units is the first step that must be accomplished on the road to competitive markets.  While the division of the SEBs’ costs into separate accounts representing the separate businesses is indeed the first step that must occur before the businesses can separate from each other, this process is merely the first step in the unbundling process. </w:t>
      </w:r>
    </w:p>
    <w:p>
      <w:pPr>
        <w:pStyle w:val="Normal"/>
        <w:rPr>
          <w:sz w:val="24"/>
          <w:u w:val="single"/>
        </w:rPr>
      </w:pPr>
      <w:r>
        <w:rPr>
          <w:sz w:val="24"/>
          <w:u w:val="single"/>
        </w:rPr>
      </w:r>
    </w:p>
    <w:p>
      <w:pPr>
        <w:pStyle w:val="BodyTextIndent2"/>
        <w:ind w:start="720" w:end="0"/>
        <w:rPr/>
      </w:pPr>
      <w:r>
        <w:rPr/>
        <w:t xml:space="preserve">The basic principles of liberalisation can be stated as follows: </w:t>
      </w:r>
    </w:p>
    <w:p>
      <w:pPr>
        <w:pStyle w:val="BodyTextIndent2"/>
        <w:numPr>
          <w:ilvl w:val="0"/>
          <w:numId w:val="2"/>
        </w:numPr>
        <w:rPr/>
      </w:pPr>
      <w:r>
        <w:rPr/>
        <w:t>The separation of the incumbent’s business functions (unbundling) must occur so that Generators, Marketers</w:t>
      </w:r>
      <w:r>
        <w:rPr>
          <w:rStyle w:val="FootnoteCharacters"/>
          <w:rStyle w:val="FootnoteReference"/>
        </w:rPr>
        <w:footnoteReference w:id="2"/>
      </w:r>
      <w:r>
        <w:rPr/>
        <w:t xml:space="preserve"> and Distribution Companies can compete with each other for the supply business of the end users.  </w:t>
      </w:r>
    </w:p>
    <w:p>
      <w:pPr>
        <w:pStyle w:val="BodyTextIndent2"/>
        <w:numPr>
          <w:ilvl w:val="0"/>
          <w:numId w:val="2"/>
        </w:numPr>
        <w:rPr/>
      </w:pPr>
      <w:r>
        <w:rPr/>
        <w:t xml:space="preserve">This competition drives the implementation of operational efficiencies and has as its basis the deregulated commodity price.  </w:t>
      </w:r>
    </w:p>
    <w:p>
      <w:pPr>
        <w:pStyle w:val="BodyTextIndent2"/>
        <w:numPr>
          <w:ilvl w:val="0"/>
          <w:numId w:val="2"/>
        </w:numPr>
        <w:rPr/>
      </w:pPr>
      <w:r>
        <w:rPr/>
        <w:t xml:space="preserve">The end user chooses its supplier (customer choice).  </w:t>
      </w:r>
    </w:p>
    <w:p>
      <w:pPr>
        <w:pStyle w:val="BodyTextIndent2"/>
        <w:numPr>
          <w:ilvl w:val="0"/>
          <w:numId w:val="2"/>
        </w:numPr>
        <w:rPr/>
      </w:pPr>
      <w:r>
        <w:rPr/>
        <w:t xml:space="preserve">The supplier must then be able to move the power to its customer.  Since the only way to do that is to wheel the power over the transmission and distribution wires, nondiscriminatory third party access to those wires by the chosen supplier is required.  </w:t>
      </w:r>
    </w:p>
    <w:p>
      <w:pPr>
        <w:pStyle w:val="BodyTextIndent2"/>
        <w:numPr>
          <w:ilvl w:val="0"/>
          <w:numId w:val="2"/>
        </w:numPr>
        <w:rPr/>
      </w:pPr>
      <w:r>
        <w:rPr/>
        <w:t>A regulator is necessary to regulate monopolies: since the nature of the transmission and distribution wires function is that of a monopoly, the subject of regulation is the wires business.  Thus, tariffs for wheeling power must be set by a regulator.  Also, the regulator must zealously guard the nondiscriminatory nature of third party access so that customers can be assured that new entrants can provide power in a reliable manner.</w:t>
      </w:r>
    </w:p>
    <w:p>
      <w:pPr>
        <w:pStyle w:val="Normal"/>
        <w:ind w:start="720" w:end="0"/>
        <w:rPr>
          <w:sz w:val="24"/>
        </w:rPr>
      </w:pPr>
      <w:r>
        <w:rPr>
          <w:sz w:val="24"/>
        </w:rPr>
      </w:r>
    </w:p>
    <w:p>
      <w:pPr>
        <w:pStyle w:val="Normal"/>
        <w:ind w:start="720" w:end="0"/>
        <w:rPr>
          <w:sz w:val="24"/>
        </w:rPr>
      </w:pPr>
      <w:r>
        <w:rPr>
          <w:sz w:val="24"/>
        </w:rPr>
        <w:t xml:space="preserve">Once looked at in the context of the entire competitive market core picture, it then becomes clear that unless generation is fully separated from transmission and distribution, competition among suppliers of electricity can never develop.  This is because the competition will only occur if there is a level playing field, i.e., no one party has a distinct competitive advantage over the others.  If the SEBs are not fully unbundled into corporatized business units, the SEB generation will always have a competitive edge because of its links with the transmission wire owner and the distribution company (which has a strong position being the only service provider to its captive customers.)  It then follows that without separation of transmission from generation and distribution, operation of the transmission wires by an entity that will ensure nondiscriminatory access to those suppliers chosen by end users is unlikely.  Finally, if distribution is not separated from generation and transmission, the likelihood that end users will have true customer choice as to supply in the future is even less likely.  </w:t>
      </w:r>
    </w:p>
    <w:p>
      <w:pPr>
        <w:pStyle w:val="Normal"/>
        <w:ind w:start="720" w:end="0"/>
        <w:rPr>
          <w:sz w:val="24"/>
        </w:rPr>
      </w:pPr>
      <w:r>
        <w:rPr>
          <w:sz w:val="24"/>
        </w:rPr>
      </w:r>
    </w:p>
    <w:p>
      <w:pPr>
        <w:pStyle w:val="Normal"/>
        <w:ind w:start="720" w:end="0"/>
        <w:rPr>
          <w:sz w:val="24"/>
        </w:rPr>
      </w:pPr>
      <w:r>
        <w:rPr>
          <w:sz w:val="24"/>
        </w:rPr>
        <w:t>Functional unbundling should occur in two steps: first, as described above into generation, transmission and distribution, and then the supply function should be separated from the wires function in distribution to eliminate the possibility of distribution companies giving a preference to the transmission of its own supply over that of competitors.</w:t>
      </w:r>
    </w:p>
    <w:p>
      <w:pPr>
        <w:pStyle w:val="Normal"/>
        <w:ind w:start="720" w:end="0"/>
        <w:rPr>
          <w:sz w:val="24"/>
        </w:rPr>
      </w:pPr>
      <w:r>
        <w:rPr>
          <w:sz w:val="24"/>
        </w:rPr>
      </w:r>
    </w:p>
    <w:p>
      <w:pPr>
        <w:pStyle w:val="Normal"/>
        <w:ind w:start="720" w:end="0"/>
        <w:rPr>
          <w:sz w:val="24"/>
        </w:rPr>
      </w:pPr>
      <w:r>
        <w:rPr>
          <w:sz w:val="24"/>
        </w:rPr>
        <w:t>If only accounting unbundling is achieved, then all that has occurred is that the SEB is ready to account differently for their businesses – nothing more.</w:t>
      </w:r>
    </w:p>
    <w:p>
      <w:pPr>
        <w:pStyle w:val="Normal"/>
        <w:ind w:start="720" w:end="0"/>
        <w:rPr>
          <w:sz w:val="24"/>
        </w:rPr>
      </w:pPr>
      <w:r>
        <w:rPr>
          <w:sz w:val="24"/>
        </w:rPr>
      </w:r>
    </w:p>
    <w:p>
      <w:pPr>
        <w:pStyle w:val="BodyTextIndent"/>
        <w:numPr>
          <w:ilvl w:val="0"/>
          <w:numId w:val="3"/>
        </w:numPr>
        <w:rPr>
          <w:u w:val="single"/>
        </w:rPr>
      </w:pPr>
      <w:r>
        <w:rPr>
          <w:i/>
        </w:rPr>
        <w:t>Deregulation of Price</w:t>
      </w:r>
      <w:r>
        <w:rPr/>
        <w:t xml:space="preserve">.  Competition between the generators, marketers and distribution companies occurs in the electricity sector based on the price of the commodity.  The Generators, Marketers and Distribution Companies compete </w:t>
      </w:r>
      <w:r>
        <w:rPr>
          <w:i/>
        </w:rPr>
        <w:t>with each other</w:t>
      </w:r>
      <w:r>
        <w:rPr/>
        <w:t xml:space="preserve"> for the business of end users, the competition being grounded in the price of electricity to the end user.  If the parties cannot set their own prices for the power but instead are restricted to a regulated price, there can be and will be no competition in the electricity sector because there will be no basis for competition.  Without full, deregulation of the price of electricity, there can be no competitive market.  Thus, any regulation of pricing other than the tariffs for transmission and distribution wires access (and bundled tariffs to Distribution Company captive customers) is inappropriate in the context of competition.  In particular, as discussed more fully below, the regulation of Marketer pricing is unacceptable in the competitive market context and acts to inhibit the operation of competitive markets.</w:t>
      </w:r>
    </w:p>
    <w:p>
      <w:pPr>
        <w:pStyle w:val="BodyTextIndent"/>
        <w:rPr/>
      </w:pPr>
      <w:r>
        <w:rPr/>
        <w:t xml:space="preserve">It is important to mention that deregulation of price does not mean leaving the small user unprotected or abandoning any rural electrification programs.  In fact, one of the primary responsibilities of the regulator is to protect the captive and smaller end users consumer from any monopolistic behavior from the incumbent Distribution Company.  The Distribution Company’s service to these customer classes will also be regulated in terms of specifying clear rules for passthrough of energy and capacity costs to be added to the regulated wire charges. </w:t>
      </w:r>
    </w:p>
    <w:p>
      <w:pPr>
        <w:pStyle w:val="BodyTextIndent"/>
        <w:numPr>
          <w:ilvl w:val="0"/>
          <w:numId w:val="3"/>
        </w:numPr>
        <w:rPr/>
      </w:pPr>
      <w:r>
        <w:rPr>
          <w:i/>
        </w:rPr>
        <w:t>Customer Choice</w:t>
      </w:r>
      <w:r>
        <w:rPr/>
        <w:t>.  Customer choice is the ability of end users to choose their suppliers.  International practice has been that customer choice is phased in over time.  First, access to industrials or large customers is allowed, followed by access to large commercial, smaller commercial and finally residential customers.  This allows access immediately to those most sophisticated customers who are most prepared to choose their supplier and gradually phases in access to increasingly smaller customers who may need a little time to understand how the restructured market operates and how to choose their supplier.</w:t>
      </w:r>
    </w:p>
    <w:p>
      <w:pPr>
        <w:pStyle w:val="BodyTextIndent"/>
        <w:numPr>
          <w:ilvl w:val="0"/>
          <w:numId w:val="3"/>
        </w:numPr>
        <w:rPr/>
      </w:pPr>
      <w:r>
        <w:rPr>
          <w:i/>
        </w:rPr>
        <w:t>Third Party Access</w:t>
      </w:r>
      <w:r>
        <w:rPr/>
        <w:t xml:space="preserve">.  Once an end user chooses its supplier, then the supplier must be able to transmit the electricity to its end user customer on lines belonging to another entity.  Each wires company (transmission and distribution companies) must be required to grant nondiscriminatory access to any third party chosen by the end user to be its supplier.  The fairness of the third party access process is what must be zealously guarded by a regulator to ensure that end users are legitimately able to choose their suppliers and the suppliers are able to transmit the electricity to their customers. </w:t>
      </w:r>
    </w:p>
    <w:p>
      <w:pPr>
        <w:pStyle w:val="BodyTextIndent"/>
        <w:numPr>
          <w:ilvl w:val="0"/>
          <w:numId w:val="3"/>
        </w:numPr>
        <w:rPr/>
      </w:pPr>
      <w:r>
        <w:rPr>
          <w:i/>
        </w:rPr>
        <w:t>Independent Regulator</w:t>
      </w:r>
      <w:r>
        <w:rPr/>
        <w:t>.  The creation of a regulator becomes necessary when there is a distinction between the owners of monopoly assets (the wires) and those who utilize the wires (generators, marketers, and perhaps end users themselves if they enter into a wheeling contract).  The regulator must reflect independence, impartiality, enforceability, and transparency and offer a course of appeal.  The cost of regulation must be borne by all users of the system in a fair and equitable manner. The main function of the regulator will be to protect the market and users from any monopolistic behavior. In addition to regulating the transmission and distribution wires, the Distribution Company’s sales to captive end users (who have no choice as to supplier) will also be regulated.  Thus, outside of the context of restructuring toward a competitive market, the creation of a regulator for its own sake (i.e., a state related entity to regulate the state) does not make much sense.</w:t>
      </w:r>
    </w:p>
    <w:p>
      <w:pPr>
        <w:pStyle w:val="BodyTextIndent"/>
        <w:rPr>
          <w:i/>
          <w:i/>
        </w:rPr>
      </w:pPr>
      <w:r>
        <w:rPr>
          <w:i/>
        </w:rPr>
      </w:r>
    </w:p>
    <w:p>
      <w:pPr>
        <w:pStyle w:val="BodyTextIndent"/>
        <w:ind w:start="0" w:end="0"/>
        <w:rPr/>
      </w:pPr>
      <w:r>
        <w:rPr/>
        <w:t>There are any number of other elements of competitive markets (such as clear cross ownership restrictions, low barriers to entry to generators, clearly defined transmission prices, transparent rules for passthrough of energy and capacity costs into regulated tariffs) that are important.  However, the above-listed five elements are crucial; if any are missing, the restructuring framework is fundamentally and fatally flawed.</w:t>
      </w:r>
    </w:p>
    <w:p>
      <w:pPr>
        <w:pStyle w:val="BodyTextIndent"/>
        <w:ind w:start="0" w:end="0"/>
        <w:rPr/>
      </w:pPr>
      <w:r>
        <w:rPr/>
      </w:r>
    </w:p>
    <w:p>
      <w:pPr>
        <w:pStyle w:val="BodyText"/>
        <w:spacing w:lineRule="atLeast" w:line="240"/>
        <w:jc w:val="both"/>
        <w:rPr>
          <w:b/>
        </w:rPr>
      </w:pPr>
      <w:r>
        <w:rPr>
          <w:b/>
        </w:rPr>
        <w:t>Issues Resulting From Draft VI</w:t>
      </w:r>
    </w:p>
    <w:p>
      <w:pPr>
        <w:pStyle w:val="BodyText"/>
        <w:spacing w:lineRule="atLeast" w:line="240"/>
        <w:jc w:val="both"/>
        <w:rPr/>
      </w:pPr>
      <w:r>
        <w:rPr/>
      </w:r>
    </w:p>
    <w:p>
      <w:pPr>
        <w:pStyle w:val="BodyText"/>
        <w:spacing w:lineRule="atLeast" w:line="240"/>
        <w:rPr/>
      </w:pPr>
      <w:r>
        <w:rPr>
          <w:i/>
        </w:rPr>
        <w:t>Full Regulation of Marketers and Marketer Pricing (Sec. 28(3) and 38(3))</w:t>
      </w:r>
      <w:r>
        <w:rPr/>
        <w:t xml:space="preserve">.  Draft VI of the Electricity Bill 2000 included a new element that is completely antithetical to a competitive market when it provided for the full regulation of marketers. This is because of the unique role that marketing companies play in a competitive market.  International experience indicates that it is the marketers that will drive competition to pressure both the generators and distribution companies to compete and achieve efficiencies.  Marketers have a key role in a competitive market, even in an overall deficit situation.  Even in a market like India, which is overall deficit in power, power surplus does exist in pockets.  Marketers can match up this surplus with appropriate demand and maximize use of the transmission system to wheel this power (physically, by swap, or by creative time of day dispatch or any number of methods).  Without marketers, the incumbents will never be driven to compete, particularly given the fact that there is no tradition of competition in the sector.  The Marketers </w:t>
      </w:r>
      <w:r>
        <w:rPr>
          <w:i/>
        </w:rPr>
        <w:t>force</w:t>
      </w:r>
      <w:r>
        <w:rPr/>
        <w:t xml:space="preserve"> the Generation and Distribution Companies to compete by customizing their products, offering lower commodity prices, providing better quality customer service, and maximizing the transmission tariff structure. </w:t>
      </w:r>
    </w:p>
    <w:p>
      <w:pPr>
        <w:pStyle w:val="BodyText"/>
        <w:spacing w:lineRule="atLeast" w:line="240"/>
        <w:rPr/>
      </w:pPr>
      <w:r>
        <w:rPr/>
      </w:r>
    </w:p>
    <w:p>
      <w:pPr>
        <w:pStyle w:val="BodyText"/>
        <w:spacing w:lineRule="atLeast" w:line="240"/>
        <w:rPr/>
      </w:pPr>
      <w:r>
        <w:rPr/>
        <w:t xml:space="preserve">The idea that a Marketer’s business can be regulated exists when one thinks that a Marketer’s function is similar to that of a Distribution Company.  However, a Marketer provides a </w:t>
      </w:r>
      <w:r>
        <w:rPr>
          <w:i/>
        </w:rPr>
        <w:t>customized</w:t>
      </w:r>
      <w:r>
        <w:rPr/>
        <w:t xml:space="preserve"> product that may provide services very different from those of a Distribution Company.  A Marketer’s price typically includes multiple considerations, not only the cost of supply.  The price could include financial services, risk management financial products, prices indexed to other commodities, power off takers, global energy management and energy advisory services.  Thus, the final product offered to end users is often far more than simply the sum of commodity + wheeling charges.</w:t>
      </w:r>
    </w:p>
    <w:p>
      <w:pPr>
        <w:pStyle w:val="BodyText"/>
        <w:spacing w:lineRule="atLeast" w:line="240"/>
        <w:rPr/>
      </w:pPr>
      <w:r>
        <w:rPr/>
      </w:r>
    </w:p>
    <w:p>
      <w:pPr>
        <w:pStyle w:val="BodyText"/>
        <w:spacing w:lineRule="atLeast" w:line="240"/>
        <w:rPr/>
      </w:pPr>
      <w:r>
        <w:rPr/>
        <w:t xml:space="preserve">The commercial risk profiles of a Distribution Company and a Marketer are completely different as well:  </w:t>
      </w:r>
    </w:p>
    <w:p>
      <w:pPr>
        <w:pStyle w:val="BodyText"/>
        <w:spacing w:lineRule="atLeast" w:line="240"/>
        <w:rPr/>
      </w:pPr>
      <w:r>
        <w:rPr/>
      </w:r>
    </w:p>
    <w:p>
      <w:pPr>
        <w:pStyle w:val="BodyText"/>
        <w:numPr>
          <w:ilvl w:val="0"/>
          <w:numId w:val="4"/>
        </w:numPr>
        <w:spacing w:lineRule="atLeast" w:line="240"/>
        <w:rPr/>
      </w:pPr>
      <w:r>
        <w:rPr/>
        <w:t xml:space="preserve">A Distribution Company’s customer has little choice as to services it receives: if the customer is dissatisfied with the Distribution Company’s service or product, often there is little or no alternative (in the absence of customer choice enabling them to choose Marketers or Generators as suppliers).  In contrast, the Marketer is “chosen” by the end use customer; if dissatisfied with the service or product of the Marketer, the customer can always return to the Distribution Company (typically, the “default supplier.”)  </w:t>
      </w:r>
    </w:p>
    <w:p>
      <w:pPr>
        <w:pStyle w:val="BodyText"/>
        <w:numPr>
          <w:ilvl w:val="0"/>
          <w:numId w:val="4"/>
        </w:numPr>
        <w:spacing w:lineRule="atLeast" w:line="240"/>
        <w:rPr/>
      </w:pPr>
      <w:r>
        <w:rPr/>
        <w:t>A Distribution Company assumes no risk with regard to its supplies: the regulator ensures that the Distribution Company recovers its cost of supply, along with the cost of service.  A Marketer, on the other hand, assumes all the risk of the business and has no guaranteed return whatsoever.</w:t>
      </w:r>
    </w:p>
    <w:p>
      <w:pPr>
        <w:pStyle w:val="BodyText"/>
        <w:spacing w:lineRule="atLeast" w:line="240"/>
        <w:rPr/>
      </w:pPr>
      <w:r>
        <w:rPr/>
      </w:r>
    </w:p>
    <w:p>
      <w:pPr>
        <w:pStyle w:val="BodyText"/>
        <w:spacing w:lineRule="atLeast" w:line="240"/>
        <w:rPr/>
      </w:pPr>
      <w:r>
        <w:rPr/>
        <w:t xml:space="preserve"> </w:t>
      </w:r>
    </w:p>
    <w:p>
      <w:pPr>
        <w:pStyle w:val="BodyText"/>
        <w:numPr>
          <w:ilvl w:val="0"/>
          <w:numId w:val="4"/>
        </w:numPr>
        <w:spacing w:lineRule="atLeast" w:line="240"/>
        <w:rPr/>
      </w:pPr>
      <w:r>
        <w:rPr/>
        <w:t xml:space="preserve">A Marketer is at a great disadvantage vis a vis a Distribution Company in that the Distribution Company is the incumbent and wields monopolistic power over access to the wires, operation of its system, and typically, its traditional customers.  To add regulatory risk to the already-existing commercial risks would only serve to discourage the formation of Marketers.  </w:t>
      </w:r>
    </w:p>
    <w:p>
      <w:pPr>
        <w:pStyle w:val="BodyText"/>
        <w:spacing w:lineRule="atLeast" w:line="240"/>
        <w:rPr/>
      </w:pPr>
      <w:r>
        <w:rPr/>
      </w:r>
    </w:p>
    <w:p>
      <w:pPr>
        <w:pStyle w:val="BodyText"/>
        <w:spacing w:lineRule="atLeast" w:line="240"/>
        <w:rPr/>
      </w:pPr>
      <w:r>
        <w:rPr/>
        <w:t>The intention to regulate Marketers in the same manner as Distribution Companies is clear in Section 28(3), which provides that the provisions of Sections 33-35 will apply insofar as they relate to the supply of electricity to consumers.  Sections 33-35 provide that the regulator will set standards of specific and overall performance of Distribution Companies</w:t>
      </w:r>
      <w:r>
        <w:rPr>
          <w:i/>
        </w:rPr>
        <w:t xml:space="preserve"> </w:t>
      </w:r>
      <w:r>
        <w:rPr/>
        <w:t xml:space="preserve">and will require detailed reporting as to the same.  The difference between Distribution Companies and Marketers in this regard is that often a Distribution Company is either a default supplier or is the supplier of captive customers who have no choice as to suppliers.  It is the lack of choice of customers that results in the necessity to regulate both the performance and price of Distribution Companies.  However, there is no requirement that customers take the service of Marketers.  Since the Distribution Company will always be a default supplier, the end user can merely cease accepting the services of the Marketer.  The difference that choice provides is key and is central to competitive markets and ensures the improvement of all round performance by the players in the sector.  From the Marketer’s point of view, it is critical that it perform at or above the standards of a Distribution Company and at an appropriate, usually better, price: otherwise, there is little incentive for the end user to choose the services of the Marketer and the Marketer will not be able to stay in business. </w:t>
      </w:r>
    </w:p>
    <w:p>
      <w:pPr>
        <w:pStyle w:val="BodyText"/>
        <w:spacing w:lineRule="atLeast" w:line="240"/>
        <w:rPr/>
      </w:pPr>
      <w:r>
        <w:rPr/>
      </w:r>
    </w:p>
    <w:p>
      <w:pPr>
        <w:pStyle w:val="BodyText"/>
        <w:spacing w:lineRule="atLeast" w:line="240"/>
        <w:rPr/>
      </w:pPr>
      <w:r>
        <w:rPr/>
        <w:t xml:space="preserve">The regulator under Section 38(3) can act in its discretion to regulate the prices of a Marketer.  The phrase “if it deems appropriate” injects enough uncertainty into the market to exponentially increase the regulatory risk for a Marketer to the point that entry into the market will be discouraged.  </w:t>
      </w:r>
    </w:p>
    <w:p>
      <w:pPr>
        <w:pStyle w:val="BodyText"/>
        <w:spacing w:lineRule="atLeast" w:line="240"/>
        <w:rPr>
          <w:i/>
          <w:i/>
        </w:rPr>
      </w:pPr>
      <w:r>
        <w:rPr>
          <w:i/>
        </w:rPr>
      </w:r>
    </w:p>
    <w:p>
      <w:pPr>
        <w:pStyle w:val="BodyText"/>
        <w:spacing w:lineRule="atLeast" w:line="240"/>
        <w:rPr/>
      </w:pPr>
      <w:r>
        <w:rPr/>
        <w:t xml:space="preserve">If the reason for even contemplating the regulation of Marketer activity is a concern for the smaller consumer, then, rather than providing for the full regulation of Marketers, a better course of action would be to phase in customer choice.  This open ended ability to regulate the business of Marketers has not been seen in other countries that have established competitive markets; what is common international practice is the phasing in of customer choice.  First, wholesale open access is permitted (allowing the sale of power to Distribution Companies and industrial customers), with retail open access consisting of sequential customer choice opportunities being granted to large commercial, smaller commercial and finally residential end users over a limited period of years (usually five years). </w:t>
      </w:r>
    </w:p>
    <w:p>
      <w:pPr>
        <w:pStyle w:val="BodyTextIndent"/>
        <w:ind w:start="0" w:end="0"/>
        <w:rPr/>
      </w:pPr>
      <w:r>
        <w:rPr/>
      </w:r>
    </w:p>
    <w:p>
      <w:pPr>
        <w:pStyle w:val="BodyTextIndent"/>
        <w:ind w:start="0" w:end="0"/>
        <w:rPr/>
      </w:pPr>
      <w:r>
        <w:rPr/>
        <w:t>This is not to say that Marketers should not be regulated at all.  Indeed, to protect the market, Marketers should be licensed by a regulator with stringent requirements that a Marketer be financially viable and able to financially back up its business. Further, stating that a Marketer should be unregulated also does not mean that, pursuant to its granted license, the Marketer should not be required to submit after-the-fact reports regarding volumes traded, etc.  However, the process of regulating the Marketer occurs up front when the Marketer seeks a license; thereafter (other than after-the-fact reporting) the price at which traders do business and the additional services provided by traders can not be regulated in any way.</w:t>
      </w:r>
    </w:p>
    <w:p>
      <w:pPr>
        <w:pStyle w:val="Normal"/>
        <w:spacing w:lineRule="exact" w:line="240"/>
        <w:rPr>
          <w:sz w:val="24"/>
        </w:rPr>
      </w:pPr>
      <w:r>
        <w:rPr>
          <w:sz w:val="24"/>
        </w:rPr>
      </w:r>
    </w:p>
    <w:p>
      <w:pPr>
        <w:pStyle w:val="BodyText"/>
        <w:spacing w:lineRule="atLeast" w:line="240"/>
        <w:rPr/>
      </w:pPr>
      <w:r>
        <w:rPr>
          <w:i/>
        </w:rPr>
        <w:t xml:space="preserve">Freedom of Transmission and Supply (Sec. 32(2) and 32(3)(b)).  </w:t>
      </w:r>
      <w:r>
        <w:rPr/>
        <w:t xml:space="preserve">The bottom line effect of the indicated provisions of Draft VI is that they will discourage potential investors and financing entities from investing in the sector.  Section 32(2) essentially permits the Central Government to divert power to regions that are scarce in power as it sees fit.  Similarly, Section 32(3)(b) gives the State Legislatures the broad ability to impose restrictions on the freedom of supply and transmission as may be required in the public interest. </w:t>
      </w:r>
      <w:r>
        <w:rPr>
          <w:i/>
        </w:rPr>
        <w:t>The provision injects politics into the marketplace, provides for abrogation of contracts, enables interference in the market, and allows for political manipulation of the market by way of preferences under the guise of “public interest.”</w:t>
      </w:r>
      <w:r>
        <w:rPr/>
        <w:t xml:space="preserve">  In addition, both provisions work to counter the competitive market structure that has been painstakingly constructed in prior versions of the Draft Electricity Bill. The underpinning of the competitive market consists of a network of contracts.  Potentially capricious and reactive diversion of power forcing the breach of contracts is contrary to competitive market principles.</w:t>
      </w:r>
    </w:p>
    <w:p>
      <w:pPr>
        <w:pStyle w:val="BodyText"/>
        <w:spacing w:lineRule="atLeast" w:line="240"/>
        <w:rPr/>
      </w:pPr>
      <w:r>
        <w:rPr/>
      </w:r>
    </w:p>
    <w:p>
      <w:pPr>
        <w:pStyle w:val="BodyText"/>
        <w:spacing w:lineRule="atLeast" w:line="240"/>
        <w:rPr>
          <w:b/>
        </w:rPr>
      </w:pPr>
      <w:r>
        <w:rPr>
          <w:b/>
        </w:rPr>
        <w:t>Conclusion</w:t>
      </w:r>
    </w:p>
    <w:p>
      <w:pPr>
        <w:pStyle w:val="Normal"/>
        <w:rPr>
          <w:b/>
          <w:sz w:val="24"/>
        </w:rPr>
      </w:pPr>
      <w:r>
        <w:rPr>
          <w:b/>
          <w:sz w:val="24"/>
        </w:rPr>
      </w:r>
    </w:p>
    <w:p>
      <w:pPr>
        <w:pStyle w:val="BodyTextIndent"/>
        <w:ind w:start="0" w:end="0"/>
        <w:rPr/>
      </w:pPr>
      <w:r>
        <w:rPr/>
        <w:t xml:space="preserve">Part and parcel of restructuring a market to the competitive model is trusting the market to ensure that buyers and sellers of electricity will move the electricity to the appropriate load centers and resisting the to overregulate the market to be extra-sure that power flows according to the government’s preconceived idea of how it “should” flow or to monitor and manage the sector as a national economy management tool Experience from other countries indicates that in fact, the market will manage the power sector properly and regulation must focus on regulation of the monopoly function (wires), not regulation of the market. </w:t>
      </w:r>
    </w:p>
    <w:p>
      <w:pPr>
        <w:pStyle w:val="BodyTextIndent"/>
        <w:ind w:start="0" w:end="0"/>
        <w:rPr/>
      </w:pPr>
      <w:r>
        <w:rPr/>
        <w:t xml:space="preserve"> </w:t>
      </w:r>
    </w:p>
    <w:p>
      <w:pPr>
        <w:pStyle w:val="BodyTextIndent"/>
        <w:ind w:start="0" w:end="0"/>
        <w:rPr/>
      </w:pPr>
      <w:r>
        <w:rPr/>
        <w:t>Of course there are no guarantees that domestic and foreign direct investment will make a beeline for the Indian power sector.  There are other variables at work in domestic and international markets that determine the destination of investment funds, such as rate of return, foreign exchange regulation, tax regulations and the like.  However, at a minimum, appropriate reforms are necessary and the above prescription legitimately sets the framework for proper restructuring.  If the Electricity Bill 2000 contains the correct elements for competitive markets, then at least India’s electricity sector will have a chance to compete for domestic and international capital.</w:t>
      </w:r>
    </w:p>
    <w:p>
      <w:pPr>
        <w:pStyle w:val="BodyTextIndent"/>
        <w:ind w:start="0" w:end="0"/>
        <w:rPr/>
      </w:pPr>
      <w:r>
        <w:rPr/>
      </w:r>
    </w:p>
    <w:p>
      <w:pPr>
        <w:pStyle w:val="BodyText"/>
        <w:spacing w:lineRule="atLeast" w:line="240"/>
        <w:jc w:val="both"/>
        <w:rPr/>
      </w:pPr>
      <w:r>
        <w:rPr/>
      </w:r>
    </w:p>
    <w:p>
      <w:pPr>
        <w:pStyle w:val="Normal"/>
        <w:rPr>
          <w:sz w:val="24"/>
        </w:rPr>
      </w:pPr>
      <w:r>
        <w:rPr>
          <w:sz w:val="24"/>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64135" cy="1847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84785"/>
                      </a:xfrm>
                      <a:prstGeom prst="rect"/>
                      <a:solidFill>
                        <a:srgbClr val="FFFFFF">
                          <a:alpha val="0"/>
                        </a:srgbClr>
                      </a:solidFill>
                    </wps:spPr>
                    <wps:txbx>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4.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60" w:after="60"/>
        <w:ind w:hanging="360" w:start="360" w:end="0"/>
        <w:rPr/>
      </w:pPr>
      <w:r>
        <w:rPr>
          <w:rStyle w:val="FootnoteCharacters"/>
        </w:rPr>
        <w:footnoteRef/>
      </w:r>
      <w:r>
        <w:rPr/>
        <w:t xml:space="preserve"> </w:t>
      </w:r>
      <w:r>
        <w:rPr/>
        <w:t>The word “Marketer” is used rather than “Trader.”  The word Marketer indicates a company that primarily buys and sells the physical commodity, i.e., takes title to the commodity with all its associated risks.  In contrast, the word Trader denotes a company that buys and sells financial products, offering risk management services.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Page </w:t>
    </w:r>
    <w:r>
      <w:rPr/>
      <w:fldChar w:fldCharType="begin"/>
    </w:r>
    <w:r>
      <w:rPr/>
      <w:instrText xml:space="preserve"> PAGE </w:instrText>
    </w:r>
    <w:r>
      <w:rPr/>
      <w:fldChar w:fldCharType="separate"/>
    </w:r>
    <w:r>
      <w:rPr/>
      <w:t>6</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421"/>
        </w:tabs>
        <w:ind w:start="2421" w:hanging="7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spacing w:before="180" w:after="0"/>
      <w:outlineLvl w:val="0"/>
    </w:pPr>
    <w:rPr>
      <w:b/>
      <w:sz w:val="24"/>
    </w:rPr>
  </w:style>
  <w:style w:type="character" w:styleId="WW8Num1z0">
    <w:name w:val="WW8Num1z0"/>
    <w:qFormat/>
    <w:rPr/>
  </w:style>
  <w:style w:type="character" w:styleId="WW8Num2z0">
    <w:name w:val="WW8Num2z0"/>
    <w:qFormat/>
    <w:rPr/>
  </w:style>
  <w:style w:type="character" w:styleId="WW8Num3z0">
    <w:name w:val="WW8Num3z0"/>
    <w:qFormat/>
    <w:rPr>
      <w:i/>
    </w:rPr>
  </w:style>
  <w:style w:type="character" w:styleId="WW8Num8z0">
    <w:name w:val="WW8Num8z0"/>
    <w:qFormat/>
    <w:rPr>
      <w:i/>
    </w:rPr>
  </w:style>
  <w:style w:type="character" w:styleId="WW8Num9z0">
    <w:name w:val="WW8Num9z0"/>
    <w:qFormat/>
    <w:rPr/>
  </w:style>
  <w:style w:type="character" w:styleId="WW8Num10z0">
    <w:name w:val="WW8Num10z0"/>
    <w:qFormat/>
    <w:rPr/>
  </w:style>
  <w:style w:type="character" w:styleId="WW8Num13z0">
    <w:name w:val="WW8Num13z0"/>
    <w:qFormat/>
    <w:rPr/>
  </w:style>
  <w:style w:type="character" w:styleId="WW8Num15z0">
    <w:name w:val="WW8Num15z0"/>
    <w:qFormat/>
    <w:rPr/>
  </w:style>
  <w:style w:type="character" w:styleId="WW8Num16z0">
    <w:name w:val="WW8Num16z0"/>
    <w:qFormat/>
    <w:rPr>
      <w:i/>
    </w:rPr>
  </w:style>
  <w:style w:type="character" w:styleId="WW8Num19z0">
    <w:name w:val="WW8Num19z0"/>
    <w:qFormat/>
    <w:rPr/>
  </w:style>
  <w:style w:type="character" w:styleId="WW8Num20z0">
    <w:name w:val="WW8Num20z0"/>
    <w:qFormat/>
    <w:rPr>
      <w:i/>
    </w:rPr>
  </w:style>
  <w:style w:type="character" w:styleId="WW8Num21z0">
    <w:name w:val="WW8Num2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pPr>
    <w:rPr/>
  </w:style>
  <w:style w:type="paragraph" w:styleId="FootnoteText">
    <w:name w:val="footnote text"/>
    <w:basedOn w:val="Normal"/>
    <w:pPr>
      <w:spacing w:before="60" w:after="60"/>
      <w:ind w:hanging="360" w:start="360" w:end="0"/>
    </w:pPr>
    <w:rPr/>
  </w:style>
  <w:style w:type="paragraph" w:styleId="Footer">
    <w:name w:val="footer"/>
    <w:basedOn w:val="Normal"/>
    <w:pPr>
      <w:tabs>
        <w:tab w:val="clear" w:pos="720"/>
        <w:tab w:val="center" w:pos="4320" w:leader="none"/>
        <w:tab w:val="right" w:pos="8640" w:leader="none"/>
      </w:tabs>
      <w:spacing w:before="60" w:after="60"/>
    </w:pPr>
    <w:rPr/>
  </w:style>
  <w:style w:type="paragraph" w:styleId="BodyTextIndent">
    <w:name w:val="Body Text Indent"/>
    <w:basedOn w:val="Normal"/>
    <w:pPr>
      <w:spacing w:before="60" w:after="60"/>
      <w:ind w:hanging="0" w:start="720" w:end="0"/>
    </w:pPr>
    <w:rPr>
      <w:sz w:val="24"/>
    </w:rPr>
  </w:style>
  <w:style w:type="paragraph" w:styleId="BodyTextIndent2">
    <w:name w:val="Body Text Indent 2"/>
    <w:basedOn w:val="Normal"/>
    <w:qFormat/>
    <w:pPr>
      <w:ind w:hanging="0" w:start="36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2000-07-26T14:27:00Z</dcterms:created>
  <dc:creator>Enron Technology</dc:creator>
  <dc:description/>
  <dc:language>en-CA</dc:language>
  <cp:lastModifiedBy>Enron Technology</cp:lastModifiedBy>
  <dcterms:modified xsi:type="dcterms:W3CDTF">2000-07-26T14:41:00Z</dcterms:modified>
  <cp:revision>4</cp:revision>
  <dc:subject/>
  <dc:title>Enron appreciates the opportunity to comment upon the ingredients that are critical to the creation of a competitive market</dc:title>
</cp:coreProperties>
</file>