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1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sz w:val="32"/>
        </w:rPr>
      </w:pPr>
      <w:r>
        <w:rPr>
          <w:b/>
          <w:sz w:val="32"/>
        </w:rPr>
        <w:t>POWER PURCHASE</w:t>
      </w:r>
    </w:p>
    <w:p>
      <w:pPr>
        <w:pStyle w:val="Normal"/>
        <w:jc w:val="center"/>
        <w:rPr>
          <w:b/>
          <w:sz w:val="32"/>
        </w:rPr>
      </w:pPr>
      <w:r>
        <w:rPr>
          <w:b/>
          <w:sz w:val="32"/>
        </w:rPr>
      </w:r>
    </w:p>
    <w:p>
      <w:pPr>
        <w:pStyle w:val="Normal"/>
        <w:jc w:val="center"/>
        <w:rPr>
          <w:b/>
          <w:sz w:val="32"/>
        </w:rPr>
      </w:pPr>
      <w:r>
        <w:rPr>
          <w:b/>
          <w:sz w:val="32"/>
        </w:rPr>
        <w:t>AND</w:t>
      </w:r>
    </w:p>
    <w:p>
      <w:pPr>
        <w:pStyle w:val="Normal"/>
        <w:jc w:val="center"/>
        <w:rPr>
          <w:b/>
          <w:sz w:val="32"/>
        </w:rPr>
      </w:pPr>
      <w:r>
        <w:rPr>
          <w:b/>
          <w:sz w:val="32"/>
        </w:rPr>
      </w:r>
    </w:p>
    <w:p>
      <w:pPr>
        <w:pStyle w:val="Normal"/>
        <w:jc w:val="center"/>
        <w:rPr>
          <w:b/>
          <w:sz w:val="32"/>
        </w:rPr>
      </w:pPr>
      <w:r>
        <w:rPr>
          <w:b/>
          <w:sz w:val="32"/>
        </w:rPr>
        <w:t>SALE AGREEMENT</w:t>
      </w:r>
    </w:p>
    <w:p>
      <w:pPr>
        <w:pStyle w:val="Normal"/>
        <w:jc w:val="center"/>
        <w:rPr>
          <w:b/>
          <w:sz w:val="32"/>
        </w:rPr>
      </w:pPr>
      <w:r>
        <w:rPr>
          <w:b/>
          <w:sz w:val="32"/>
        </w:rPr>
      </w:r>
    </w:p>
    <w:p>
      <w:pPr>
        <w:pStyle w:val="Heading1"/>
        <w:ind w:hanging="0" w:start="0"/>
        <w:rPr/>
      </w:pPr>
      <w:r>
        <w:rPr/>
        <w:t>By and Between</w:t>
      </w:r>
    </w:p>
    <w:p>
      <w:pPr>
        <w:pStyle w:val="Normal"/>
        <w:jc w:val="center"/>
        <w:rPr>
          <w:b/>
          <w:sz w:val="28"/>
        </w:rPr>
      </w:pPr>
      <w:r>
        <w:rPr>
          <w:b/>
          <w:sz w:val="28"/>
        </w:rPr>
      </w:r>
    </w:p>
    <w:p>
      <w:pPr>
        <w:pStyle w:val="Normal"/>
        <w:jc w:val="center"/>
        <w:rPr>
          <w:b/>
          <w:sz w:val="28"/>
        </w:rPr>
      </w:pPr>
      <w:r>
        <w:rPr>
          <w:b/>
          <w:sz w:val="28"/>
        </w:rPr>
        <w:t>ENRON POWER MARKETING, INC.</w:t>
      </w:r>
    </w:p>
    <w:p>
      <w:pPr>
        <w:pStyle w:val="Normal"/>
        <w:jc w:val="center"/>
        <w:rPr>
          <w:b/>
          <w:sz w:val="28"/>
        </w:rPr>
      </w:pPr>
      <w:r>
        <w:rPr>
          <w:b/>
          <w:sz w:val="28"/>
        </w:rPr>
      </w:r>
    </w:p>
    <w:p>
      <w:pPr>
        <w:pStyle w:val="Normal"/>
        <w:jc w:val="center"/>
        <w:rPr>
          <w:sz w:val="28"/>
        </w:rPr>
      </w:pPr>
      <w:r>
        <w:rPr>
          <w:sz w:val="28"/>
        </w:rPr>
        <w:t>and</w:t>
      </w:r>
    </w:p>
    <w:p>
      <w:pPr>
        <w:pStyle w:val="Normal"/>
        <w:jc w:val="center"/>
        <w:rPr>
          <w:b/>
          <w:sz w:val="28"/>
        </w:rPr>
      </w:pPr>
      <w:r>
        <w:rPr>
          <w:b/>
          <w:sz w:val="28"/>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jc w:val="center"/>
        <w:rPr>
          <w:b/>
          <w:color w:val="000080"/>
        </w:rPr>
      </w:pPr>
      <w:r>
        <w:rPr>
          <w:b/>
          <w:sz w:val="28"/>
        </w:rPr>
        <w:t>MERRILL LYNCH CAPITAL SERVICES, INC.</w:t>
      </w:r>
    </w:p>
    <w:p>
      <w:pPr>
        <w:pStyle w:val="Heading1"/>
        <w:ind w:hanging="0" w:start="0"/>
        <w:rPr/>
      </w:pPr>
      <w:r>
        <w:rPr/>
        <w:t>TABLE OF CONTENTS</w:t>
      </w:r>
    </w:p>
    <w:p>
      <w:pPr>
        <w:pStyle w:val="Normal"/>
        <w:ind w:end="720"/>
        <w:jc w:val="end"/>
        <w:rPr>
          <w:b/>
          <w:color w:val="000080"/>
        </w:rPr>
      </w:pPr>
      <w:r>
        <w:rPr>
          <w:b/>
          <w:color w:val="000080"/>
        </w:rPr>
        <w:t>Page</w:t>
      </w:r>
    </w:p>
    <w:p>
      <w:pPr>
        <w:pStyle w:val="Normal"/>
        <w:tabs>
          <w:tab w:val="clear" w:pos="720"/>
          <w:tab w:val="right" w:pos="8550" w:leader="none"/>
        </w:tabs>
        <w:rPr>
          <w:b/>
          <w:color w:val="000080"/>
        </w:rPr>
      </w:pPr>
      <w:r>
        <w:rPr>
          <w:b/>
          <w:color w:val="000080"/>
        </w:rPr>
      </w:r>
    </w:p>
    <w:p>
      <w:pPr>
        <w:pStyle w:val="Normal"/>
        <w:tabs>
          <w:tab w:val="clear" w:pos="720"/>
          <w:tab w:val="right" w:pos="8550" w:leader="dot"/>
        </w:tabs>
        <w:spacing w:before="120" w:after="120"/>
        <w:rPr>
          <w:b/>
          <w:smallCaps/>
          <w:color w:val="000080"/>
        </w:rPr>
      </w:pPr>
      <w:r>
        <w:rPr>
          <w:b/>
          <w:smallCaps/>
          <w:color w:val="000080"/>
        </w:rPr>
        <w:t>Article 1. Definitions</w:t>
        <w:tab/>
        <w:t>1</w:t>
      </w:r>
    </w:p>
    <w:p>
      <w:pPr>
        <w:pStyle w:val="Normal"/>
        <w:tabs>
          <w:tab w:val="clear" w:pos="720"/>
          <w:tab w:val="left" w:pos="1440" w:leader="none"/>
          <w:tab w:val="right" w:pos="8550" w:leader="dot"/>
        </w:tabs>
        <w:spacing w:before="120" w:after="0"/>
        <w:ind w:start="720" w:end="0"/>
        <w:rPr>
          <w:color w:val="000080"/>
        </w:rPr>
      </w:pPr>
      <w:r>
        <w:rPr>
          <w:color w:val="000080"/>
        </w:rPr>
        <w:t>1.1.</w:t>
        <w:tab/>
        <w:t>Definitions</w:t>
        <w:tab/>
        <w:t>1</w:t>
      </w:r>
    </w:p>
    <w:p>
      <w:pPr>
        <w:pStyle w:val="Normal"/>
        <w:tabs>
          <w:tab w:val="clear" w:pos="720"/>
          <w:tab w:val="right" w:pos="8550" w:leader="dot"/>
        </w:tabs>
        <w:spacing w:before="120" w:after="120"/>
        <w:rPr>
          <w:b/>
          <w:smallCaps/>
          <w:color w:val="000080"/>
        </w:rPr>
      </w:pPr>
      <w:r>
        <w:rPr>
          <w:b/>
          <w:smallCaps/>
          <w:color w:val="000080"/>
        </w:rPr>
        <w:t>Article 2. Term</w:t>
        <w:tab/>
        <w:t>4</w:t>
      </w:r>
    </w:p>
    <w:p>
      <w:pPr>
        <w:pStyle w:val="Normal"/>
        <w:tabs>
          <w:tab w:val="clear" w:pos="720"/>
          <w:tab w:val="left" w:pos="1440" w:leader="none"/>
          <w:tab w:val="right" w:pos="8550" w:leader="dot"/>
        </w:tabs>
        <w:spacing w:before="120" w:after="0"/>
        <w:ind w:start="720" w:end="0"/>
        <w:rPr>
          <w:color w:val="000080"/>
        </w:rPr>
      </w:pPr>
      <w:r>
        <w:rPr>
          <w:color w:val="000080"/>
        </w:rPr>
        <w:t>2.1.</w:t>
        <w:tab/>
        <w:t>Contract Term</w:t>
        <w:tab/>
        <w:t>4</w:t>
      </w:r>
    </w:p>
    <w:p>
      <w:pPr>
        <w:pStyle w:val="Normal"/>
        <w:tabs>
          <w:tab w:val="clear" w:pos="720"/>
          <w:tab w:val="left" w:pos="1440" w:leader="none"/>
          <w:tab w:val="right" w:pos="8550" w:leader="dot"/>
        </w:tabs>
        <w:spacing w:before="120" w:after="0"/>
        <w:ind w:start="720" w:end="0"/>
        <w:rPr>
          <w:color w:val="000080"/>
        </w:rPr>
      </w:pPr>
      <w:r>
        <w:rPr>
          <w:color w:val="000080"/>
        </w:rPr>
        <w:t>2.2.</w:t>
        <w:tab/>
        <w:t>Delivery Term</w:t>
        <w:tab/>
        <w:t>4</w:t>
      </w:r>
    </w:p>
    <w:p>
      <w:pPr>
        <w:pStyle w:val="Normal"/>
        <w:tabs>
          <w:tab w:val="clear" w:pos="720"/>
          <w:tab w:val="right" w:pos="8550" w:leader="dot"/>
        </w:tabs>
        <w:spacing w:before="120" w:after="120"/>
        <w:rPr>
          <w:b/>
          <w:smallCaps/>
          <w:color w:val="000080"/>
        </w:rPr>
      </w:pPr>
      <w:r>
        <w:rPr>
          <w:b/>
          <w:smallCaps/>
          <w:color w:val="000080"/>
        </w:rPr>
        <w:t>Article 3. Quantity</w:t>
        <w:tab/>
        <w:t>4</w:t>
      </w:r>
    </w:p>
    <w:p>
      <w:pPr>
        <w:pStyle w:val="Normal"/>
        <w:tabs>
          <w:tab w:val="clear" w:pos="720"/>
          <w:tab w:val="left" w:pos="1440" w:leader="none"/>
          <w:tab w:val="right" w:pos="8550" w:leader="dot"/>
        </w:tabs>
        <w:spacing w:before="120" w:after="0"/>
        <w:ind w:start="720" w:end="0"/>
        <w:rPr>
          <w:color w:val="000080"/>
        </w:rPr>
      </w:pPr>
      <w:r>
        <w:rPr>
          <w:color w:val="000080"/>
        </w:rPr>
        <w:t>3.1.</w:t>
        <w:tab/>
        <w:t>Contract Quantity</w:t>
        <w:tab/>
        <w:t>4</w:t>
      </w:r>
    </w:p>
    <w:p>
      <w:pPr>
        <w:pStyle w:val="Normal"/>
        <w:tabs>
          <w:tab w:val="clear" w:pos="720"/>
          <w:tab w:val="left" w:pos="1440" w:leader="none"/>
          <w:tab w:val="right" w:pos="8550" w:leader="dot"/>
        </w:tabs>
        <w:ind w:start="720" w:end="0"/>
        <w:rPr>
          <w:color w:val="000080"/>
        </w:rPr>
      </w:pPr>
      <w:r>
        <w:rPr>
          <w:color w:val="000080"/>
        </w:rPr>
        <w:t>3.2.</w:t>
        <w:tab/>
        <w:t>Deliveries</w:t>
        <w:tab/>
        <w:t>4</w:t>
      </w:r>
    </w:p>
    <w:p>
      <w:pPr>
        <w:pStyle w:val="Normal"/>
        <w:tabs>
          <w:tab w:val="clear" w:pos="720"/>
          <w:tab w:val="right" w:pos="8550" w:leader="dot"/>
        </w:tabs>
        <w:spacing w:before="120" w:after="120"/>
        <w:rPr>
          <w:b/>
          <w:smallCaps/>
          <w:color w:val="000080"/>
        </w:rPr>
      </w:pPr>
      <w:r>
        <w:rPr>
          <w:b/>
          <w:smallCaps/>
          <w:color w:val="000080"/>
        </w:rPr>
        <w:t>Article 4. Contract Price</w:t>
        <w:tab/>
        <w:t>4</w:t>
      </w:r>
    </w:p>
    <w:p>
      <w:pPr>
        <w:pStyle w:val="Normal"/>
        <w:tabs>
          <w:tab w:val="clear" w:pos="720"/>
          <w:tab w:val="left" w:pos="1440" w:leader="none"/>
          <w:tab w:val="right" w:pos="8550" w:leader="dot"/>
        </w:tabs>
        <w:spacing w:before="120" w:after="0"/>
        <w:ind w:start="720" w:end="0"/>
        <w:rPr>
          <w:color w:val="000080"/>
        </w:rPr>
      </w:pPr>
      <w:r>
        <w:rPr>
          <w:color w:val="000080"/>
        </w:rPr>
        <w:t>4.1.</w:t>
        <w:tab/>
        <w:t>Contract Price</w:t>
        <w:tab/>
        <w:t>4</w:t>
      </w:r>
    </w:p>
    <w:p>
      <w:pPr>
        <w:pStyle w:val="Normal"/>
        <w:tabs>
          <w:tab w:val="clear" w:pos="720"/>
          <w:tab w:val="left" w:pos="1440" w:leader="none"/>
          <w:tab w:val="right" w:pos="8550" w:leader="dot"/>
        </w:tabs>
        <w:ind w:start="720" w:end="0"/>
        <w:rPr>
          <w:color w:val="000080"/>
        </w:rPr>
      </w:pPr>
      <w:r>
        <w:rPr>
          <w:color w:val="000080"/>
        </w:rPr>
        <w:t>4.2.</w:t>
        <w:tab/>
        <w:t>Demand Charge</w:t>
        <w:tab/>
        <w:t>4</w:t>
      </w:r>
    </w:p>
    <w:p>
      <w:pPr>
        <w:pStyle w:val="Normal"/>
        <w:tabs>
          <w:tab w:val="clear" w:pos="720"/>
          <w:tab w:val="left" w:pos="1440" w:leader="none"/>
          <w:tab w:val="right" w:pos="8550" w:leader="dot"/>
        </w:tabs>
        <w:ind w:start="720" w:end="0"/>
        <w:rPr>
          <w:color w:val="000080"/>
        </w:rPr>
      </w:pPr>
      <w:r>
        <w:rPr>
          <w:color w:val="000080"/>
        </w:rPr>
        <w:t>4.3.</w:t>
        <w:tab/>
        <w:t>Energy Charge</w:t>
        <w:tab/>
        <w:t>4</w:t>
      </w:r>
    </w:p>
    <w:p>
      <w:pPr>
        <w:pStyle w:val="Normal"/>
        <w:tabs>
          <w:tab w:val="clear" w:pos="720"/>
          <w:tab w:val="left" w:pos="1440" w:leader="none"/>
          <w:tab w:val="right" w:pos="8550" w:leader="dot"/>
        </w:tabs>
        <w:ind w:start="720" w:end="0"/>
        <w:rPr>
          <w:color w:val="000080"/>
        </w:rPr>
      </w:pPr>
      <w:r>
        <w:rPr>
          <w:color w:val="000080"/>
        </w:rPr>
        <w:t>4.4.</w:t>
        <w:tab/>
        <w:t>Buyer's Cover Remedy for Seller's Failure to Deliver</w:t>
        <w:tab/>
        <w:t>4</w:t>
      </w:r>
    </w:p>
    <w:p>
      <w:pPr>
        <w:pStyle w:val="Normal"/>
        <w:tabs>
          <w:tab w:val="clear" w:pos="720"/>
          <w:tab w:val="left" w:pos="1440" w:leader="none"/>
          <w:tab w:val="right" w:pos="8550" w:leader="dot"/>
        </w:tabs>
        <w:ind w:start="720" w:end="0"/>
        <w:rPr>
          <w:color w:val="000080"/>
        </w:rPr>
      </w:pPr>
      <w:r>
        <w:rPr>
          <w:color w:val="000080"/>
        </w:rPr>
        <w:t>4.5.</w:t>
        <w:tab/>
        <w:t>Seller's Cover Remedy for Buyer's Failure to Receive</w:t>
        <w:tab/>
        <w:t>5</w:t>
      </w:r>
    </w:p>
    <w:p>
      <w:pPr>
        <w:pStyle w:val="Normal"/>
        <w:tabs>
          <w:tab w:val="clear" w:pos="720"/>
          <w:tab w:val="left" w:pos="1440" w:leader="none"/>
          <w:tab w:val="right" w:pos="8550" w:leader="dot"/>
        </w:tabs>
        <w:ind w:start="720" w:end="0"/>
        <w:rPr>
          <w:b/>
          <w:smallCaps/>
          <w:color w:val="000080"/>
        </w:rPr>
      </w:pPr>
      <w:r>
        <w:rPr>
          <w:color w:val="000080"/>
        </w:rPr>
        <w:t>4.6.</w:t>
        <w:tab/>
        <w:t>Acknowledgement of Parties</w:t>
        <w:tab/>
        <w:t>5</w:t>
      </w:r>
    </w:p>
    <w:p>
      <w:pPr>
        <w:pStyle w:val="Normal"/>
        <w:tabs>
          <w:tab w:val="clear" w:pos="720"/>
          <w:tab w:val="left" w:pos="1440" w:leader="none"/>
          <w:tab w:val="right" w:pos="8550" w:leader="dot"/>
        </w:tabs>
        <w:spacing w:before="240" w:after="120"/>
        <w:rPr>
          <w:b/>
          <w:smallCaps/>
          <w:color w:val="000080"/>
        </w:rPr>
      </w:pPr>
      <w:r>
        <w:rPr>
          <w:b/>
          <w:smallCaps/>
          <w:color w:val="000080"/>
        </w:rPr>
        <w:t>Article 5. Operating Provisions</w:t>
        <w:tab/>
        <w:t>5</w:t>
      </w:r>
    </w:p>
    <w:p>
      <w:pPr>
        <w:pStyle w:val="Normal"/>
        <w:tabs>
          <w:tab w:val="clear" w:pos="720"/>
          <w:tab w:val="left" w:pos="1440" w:leader="none"/>
          <w:tab w:val="right" w:pos="8550" w:leader="dot"/>
        </w:tabs>
        <w:ind w:start="720" w:end="0"/>
        <w:rPr>
          <w:color w:val="000080"/>
        </w:rPr>
      </w:pPr>
      <w:r>
        <w:rPr>
          <w:color w:val="000080"/>
        </w:rPr>
        <w:t>5.1.</w:t>
        <w:tab/>
        <w:t>Transmission</w:t>
        <w:tab/>
        <w:t>5</w:t>
      </w:r>
    </w:p>
    <w:p>
      <w:pPr>
        <w:pStyle w:val="Normal"/>
        <w:tabs>
          <w:tab w:val="clear" w:pos="720"/>
          <w:tab w:val="left" w:pos="1440" w:leader="none"/>
          <w:tab w:val="right" w:pos="8550" w:leader="dot"/>
        </w:tabs>
        <w:ind w:start="720" w:end="0"/>
        <w:rPr>
          <w:color w:val="000080"/>
        </w:rPr>
      </w:pPr>
      <w:r>
        <w:rPr>
          <w:color w:val="000080"/>
        </w:rPr>
        <w:t>5.2.</w:t>
        <w:tab/>
        <w:t>Scheduling</w:t>
        <w:tab/>
        <w:t>5</w:t>
      </w:r>
    </w:p>
    <w:p>
      <w:pPr>
        <w:pStyle w:val="Normal"/>
        <w:tabs>
          <w:tab w:val="clear" w:pos="720"/>
          <w:tab w:val="left" w:pos="1440" w:leader="none"/>
          <w:tab w:val="right" w:pos="8550" w:leader="dot"/>
        </w:tabs>
        <w:ind w:start="720" w:end="0"/>
        <w:rPr>
          <w:color w:val="000080"/>
        </w:rPr>
      </w:pPr>
      <w:r>
        <w:rPr>
          <w:color w:val="000080"/>
        </w:rPr>
        <w:t>5.3.</w:t>
        <w:tab/>
        <w:t>Gas/Supply/Transportation</w:t>
        <w:tab/>
        <w:t>6</w:t>
      </w:r>
    </w:p>
    <w:p>
      <w:pPr>
        <w:pStyle w:val="Normal"/>
        <w:keepNext w:val="true"/>
        <w:tabs>
          <w:tab w:val="clear" w:pos="720"/>
          <w:tab w:val="left" w:pos="1440" w:leader="none"/>
          <w:tab w:val="right" w:pos="8550" w:leader="dot"/>
        </w:tabs>
        <w:spacing w:before="240" w:after="120"/>
        <w:rPr>
          <w:b/>
          <w:smallCaps/>
          <w:color w:val="000080"/>
        </w:rPr>
      </w:pPr>
      <w:r>
        <w:rPr>
          <w:b/>
          <w:smallCaps/>
          <w:color w:val="000080"/>
        </w:rPr>
        <w:t>Article 6. Delivery Points; Obligations of the Parties; Title</w:t>
        <w:tab/>
        <w:t>6</w:t>
      </w:r>
    </w:p>
    <w:p>
      <w:pPr>
        <w:pStyle w:val="Normal"/>
        <w:tabs>
          <w:tab w:val="clear" w:pos="720"/>
          <w:tab w:val="left" w:pos="1440" w:leader="none"/>
          <w:tab w:val="right" w:pos="8550" w:leader="dot"/>
        </w:tabs>
        <w:spacing w:before="120" w:after="0"/>
        <w:ind w:start="720" w:end="0"/>
        <w:rPr>
          <w:color w:val="000080"/>
        </w:rPr>
      </w:pPr>
      <w:r>
        <w:rPr>
          <w:color w:val="000080"/>
        </w:rPr>
        <w:t>6.1.</w:t>
        <w:tab/>
        <w:t>Delivery Points</w:t>
        <w:tab/>
        <w:t>6</w:t>
      </w:r>
    </w:p>
    <w:p>
      <w:pPr>
        <w:pStyle w:val="Normal"/>
        <w:tabs>
          <w:tab w:val="clear" w:pos="720"/>
          <w:tab w:val="left" w:pos="1440" w:leader="none"/>
          <w:tab w:val="right" w:pos="8550" w:leader="dot"/>
        </w:tabs>
        <w:ind w:start="720" w:end="0"/>
        <w:rPr>
          <w:color w:val="000080"/>
        </w:rPr>
      </w:pPr>
      <w:r>
        <w:rPr>
          <w:color w:val="000080"/>
        </w:rPr>
        <w:t>6.2.</w:t>
        <w:tab/>
        <w:t>Further Obligations of the Parties</w:t>
        <w:tab/>
        <w:t>6</w:t>
      </w:r>
    </w:p>
    <w:p>
      <w:pPr>
        <w:pStyle w:val="Normal"/>
        <w:tabs>
          <w:tab w:val="clear" w:pos="720"/>
          <w:tab w:val="left" w:pos="1440" w:leader="none"/>
          <w:tab w:val="right" w:pos="8550" w:leader="dot"/>
        </w:tabs>
        <w:ind w:start="720" w:end="0"/>
        <w:rPr>
          <w:color w:val="000080"/>
        </w:rPr>
      </w:pPr>
      <w:r>
        <w:rPr>
          <w:color w:val="000080"/>
        </w:rPr>
        <w:t>6.3.</w:t>
        <w:tab/>
        <w:t>Title; Risk of Loss; and Indemnity</w:t>
        <w:tab/>
        <w:t>6</w:t>
      </w:r>
    </w:p>
    <w:p>
      <w:pPr>
        <w:pStyle w:val="Normal"/>
        <w:tabs>
          <w:tab w:val="clear" w:pos="720"/>
          <w:tab w:val="right" w:pos="8550" w:leader="dot"/>
        </w:tabs>
        <w:spacing w:before="120" w:after="120"/>
        <w:rPr>
          <w:b/>
          <w:smallCaps/>
          <w:color w:val="000080"/>
        </w:rPr>
      </w:pPr>
      <w:r>
        <w:rPr>
          <w:b/>
          <w:smallCaps/>
          <w:color w:val="000080"/>
        </w:rPr>
        <w:t>Article 7. Representations and Warranties</w:t>
        <w:tab/>
        <w:t>6</w:t>
      </w:r>
    </w:p>
    <w:p>
      <w:pPr>
        <w:pStyle w:val="Normal"/>
        <w:tabs>
          <w:tab w:val="clear" w:pos="720"/>
          <w:tab w:val="left" w:pos="1440" w:leader="none"/>
          <w:tab w:val="right" w:pos="8550" w:leader="dot"/>
        </w:tabs>
        <w:spacing w:before="120" w:after="0"/>
        <w:ind w:start="720" w:end="0"/>
        <w:rPr>
          <w:color w:val="000080"/>
        </w:rPr>
      </w:pPr>
      <w:r>
        <w:rPr>
          <w:color w:val="000080"/>
        </w:rPr>
        <w:t>7.1.</w:t>
        <w:tab/>
        <w:t>Representations and Warranties</w:t>
        <w:tab/>
        <w:t>6</w:t>
      </w:r>
    </w:p>
    <w:p>
      <w:pPr>
        <w:pStyle w:val="Normal"/>
        <w:tabs>
          <w:tab w:val="clear" w:pos="720"/>
          <w:tab w:val="left" w:pos="1440" w:leader="none"/>
          <w:tab w:val="right" w:pos="8550" w:leader="dot"/>
        </w:tabs>
        <w:ind w:start="720" w:end="0"/>
        <w:rPr>
          <w:color w:val="000080"/>
        </w:rPr>
      </w:pPr>
      <w:r>
        <w:rPr>
          <w:color w:val="000080"/>
        </w:rPr>
        <w:t>7.2.</w:t>
        <w:tab/>
        <w:t>Buyer's Additional Representation and Warranty</w:t>
        <w:tab/>
        <w:t>7</w:t>
      </w:r>
    </w:p>
    <w:p>
      <w:pPr>
        <w:pStyle w:val="Normal"/>
        <w:tabs>
          <w:tab w:val="clear" w:pos="720"/>
          <w:tab w:val="right" w:pos="8550" w:leader="dot"/>
        </w:tabs>
        <w:spacing w:before="120" w:after="120"/>
        <w:rPr>
          <w:b/>
          <w:smallCaps/>
          <w:color w:val="000080"/>
        </w:rPr>
      </w:pPr>
      <w:r>
        <w:rPr>
          <w:b/>
          <w:smallCaps/>
          <w:color w:val="000080"/>
        </w:rPr>
        <w:t>Article 8. Additional Covenants</w:t>
        <w:tab/>
        <w:t>8</w:t>
      </w:r>
    </w:p>
    <w:p>
      <w:pPr>
        <w:pStyle w:val="Normal"/>
        <w:tabs>
          <w:tab w:val="clear" w:pos="720"/>
          <w:tab w:val="left" w:pos="1440" w:leader="none"/>
          <w:tab w:val="right" w:pos="8550" w:leader="dot"/>
        </w:tabs>
        <w:spacing w:before="120" w:after="0"/>
        <w:ind w:start="720" w:end="0"/>
        <w:rPr>
          <w:color w:val="000080"/>
        </w:rPr>
      </w:pPr>
      <w:r>
        <w:rPr>
          <w:color w:val="000080"/>
        </w:rPr>
        <w:t>8.1.</w:t>
        <w:tab/>
        <w:t>Remaking of Representations and Warranties</w:t>
        <w:tab/>
        <w:t>8</w:t>
      </w:r>
    </w:p>
    <w:p>
      <w:pPr>
        <w:pStyle w:val="Normal"/>
        <w:tabs>
          <w:tab w:val="clear" w:pos="720"/>
          <w:tab w:val="left" w:pos="1440" w:leader="none"/>
          <w:tab w:val="right" w:pos="8550" w:leader="dot"/>
        </w:tabs>
        <w:ind w:start="720" w:end="0"/>
        <w:rPr>
          <w:color w:val="000080"/>
        </w:rPr>
      </w:pPr>
      <w:r>
        <w:rPr>
          <w:color w:val="000080"/>
        </w:rPr>
        <w:t>8.2.</w:t>
        <w:tab/>
        <w:t>Financial Information</w:t>
        <w:tab/>
        <w:t>8</w:t>
      </w:r>
    </w:p>
    <w:p>
      <w:pPr>
        <w:pStyle w:val="Normal"/>
        <w:tabs>
          <w:tab w:val="clear" w:pos="720"/>
          <w:tab w:val="right" w:pos="8550" w:leader="dot"/>
        </w:tabs>
        <w:spacing w:before="120" w:after="120"/>
        <w:rPr>
          <w:b/>
          <w:smallCaps/>
          <w:color w:val="000080"/>
        </w:rPr>
      </w:pPr>
      <w:r>
        <w:rPr>
          <w:b/>
          <w:smallCaps/>
          <w:color w:val="000080"/>
        </w:rPr>
        <w:t>Article 9. Events of Default and Remedies</w:t>
        <w:tab/>
        <w:t>8</w:t>
      </w:r>
    </w:p>
    <w:p>
      <w:pPr>
        <w:pStyle w:val="Normal"/>
        <w:tabs>
          <w:tab w:val="clear" w:pos="720"/>
          <w:tab w:val="left" w:pos="1440" w:leader="none"/>
          <w:tab w:val="right" w:pos="8550" w:leader="dot"/>
        </w:tabs>
        <w:spacing w:before="120" w:after="0"/>
        <w:ind w:start="720" w:end="0"/>
        <w:rPr>
          <w:color w:val="000080"/>
        </w:rPr>
      </w:pPr>
      <w:r>
        <w:rPr>
          <w:color w:val="000080"/>
        </w:rPr>
        <w:t>9.1.</w:t>
        <w:tab/>
        <w:t>Event of Default</w:t>
        <w:tab/>
        <w:t>8</w:t>
      </w:r>
    </w:p>
    <w:p>
      <w:pPr>
        <w:pStyle w:val="Normal"/>
        <w:tabs>
          <w:tab w:val="clear" w:pos="720"/>
          <w:tab w:val="left" w:pos="1440" w:leader="none"/>
          <w:tab w:val="right" w:pos="8550" w:leader="dot"/>
        </w:tabs>
        <w:ind w:start="720" w:end="0"/>
        <w:rPr>
          <w:color w:val="000080"/>
        </w:rPr>
      </w:pPr>
      <w:r>
        <w:rPr>
          <w:color w:val="000080"/>
        </w:rPr>
        <w:t>9.2.</w:t>
        <w:tab/>
        <w:t>Remedies Upon an Event of Default</w:t>
        <w:tab/>
        <w:t>10</w:t>
      </w:r>
    </w:p>
    <w:p>
      <w:pPr>
        <w:pStyle w:val="Normal"/>
        <w:tabs>
          <w:tab w:val="clear" w:pos="720"/>
          <w:tab w:val="left" w:pos="1440" w:leader="none"/>
          <w:tab w:val="right" w:pos="8550" w:leader="dot"/>
        </w:tabs>
        <w:ind w:start="720" w:end="0"/>
        <w:rPr>
          <w:color w:val="000080"/>
        </w:rPr>
      </w:pPr>
      <w:r>
        <w:rPr>
          <w:color w:val="000080"/>
        </w:rPr>
        <w:t>9.3.</w:t>
        <w:tab/>
        <w:t>Other Events</w:t>
        <w:tab/>
        <w:t>11</w:t>
      </w:r>
    </w:p>
    <w:p>
      <w:pPr>
        <w:pStyle w:val="Normal"/>
        <w:tabs>
          <w:tab w:val="clear" w:pos="720"/>
          <w:tab w:val="left" w:pos="1440" w:leader="none"/>
          <w:tab w:val="right" w:pos="8550" w:leader="dot"/>
        </w:tabs>
        <w:ind w:start="720" w:end="0"/>
        <w:rPr>
          <w:color w:val="000080"/>
        </w:rPr>
      </w:pPr>
      <w:r>
        <w:rPr>
          <w:color w:val="000080"/>
        </w:rPr>
        <w:t>9.4.</w:t>
        <w:tab/>
        <w:t>Credit Support Documents</w:t>
        <w:tab/>
        <w:t>11</w:t>
      </w:r>
    </w:p>
    <w:p>
      <w:pPr>
        <w:pStyle w:val="Normal"/>
        <w:tabs>
          <w:tab w:val="clear" w:pos="720"/>
          <w:tab w:val="right" w:pos="8550" w:leader="dot"/>
        </w:tabs>
        <w:spacing w:before="120" w:after="120"/>
        <w:rPr>
          <w:b/>
          <w:smallCaps/>
          <w:color w:val="000080"/>
        </w:rPr>
      </w:pPr>
      <w:r>
        <w:rPr>
          <w:b/>
          <w:smallCaps/>
          <w:color w:val="000080"/>
        </w:rPr>
        <w:t>Article 10. Billing and Payment</w:t>
        <w:tab/>
        <w:t>11</w:t>
      </w:r>
    </w:p>
    <w:p>
      <w:pPr>
        <w:pStyle w:val="Normal"/>
        <w:tabs>
          <w:tab w:val="clear" w:pos="720"/>
          <w:tab w:val="left" w:pos="1440" w:leader="none"/>
          <w:tab w:val="right" w:pos="8550" w:leader="dot"/>
        </w:tabs>
        <w:spacing w:before="120" w:after="0"/>
        <w:ind w:start="720" w:end="0"/>
        <w:rPr>
          <w:color w:val="000080"/>
        </w:rPr>
      </w:pPr>
      <w:r>
        <w:rPr>
          <w:color w:val="000080"/>
        </w:rPr>
        <w:t>10.1.</w:t>
        <w:tab/>
        <w:t>Billing and Payment</w:t>
        <w:tab/>
        <w:t>11</w:t>
      </w:r>
    </w:p>
    <w:p>
      <w:pPr>
        <w:pStyle w:val="Normal"/>
        <w:tabs>
          <w:tab w:val="clear" w:pos="720"/>
          <w:tab w:val="left" w:pos="1440" w:leader="none"/>
          <w:tab w:val="right" w:pos="8550" w:leader="dot"/>
        </w:tabs>
        <w:ind w:start="720" w:end="0"/>
        <w:rPr>
          <w:color w:val="000080"/>
        </w:rPr>
      </w:pPr>
      <w:r>
        <w:rPr>
          <w:color w:val="000080"/>
        </w:rPr>
        <w:t>10.2.</w:t>
        <w:tab/>
        <w:t>Setoff</w:t>
        <w:tab/>
        <w:t>12</w:t>
      </w:r>
    </w:p>
    <w:p>
      <w:pPr>
        <w:pStyle w:val="Normal"/>
        <w:tabs>
          <w:tab w:val="clear" w:pos="720"/>
          <w:tab w:val="left" w:pos="1440" w:leader="none"/>
          <w:tab w:val="right" w:pos="8550" w:leader="dot"/>
        </w:tabs>
        <w:ind w:start="720" w:end="0"/>
        <w:rPr>
          <w:color w:val="000080"/>
        </w:rPr>
      </w:pPr>
      <w:r>
        <w:rPr>
          <w:color w:val="000080"/>
        </w:rPr>
        <w:t>10.3.</w:t>
        <w:tab/>
        <w:t>Audit</w:t>
        <w:tab/>
        <w:t>12</w:t>
      </w:r>
    </w:p>
    <w:p>
      <w:pPr>
        <w:pStyle w:val="Normal"/>
        <w:tabs>
          <w:tab w:val="clear" w:pos="720"/>
          <w:tab w:val="right" w:pos="8550" w:leader="dot"/>
        </w:tabs>
        <w:spacing w:before="120" w:after="120"/>
        <w:rPr>
          <w:b/>
          <w:smallCaps/>
          <w:color w:val="000080"/>
        </w:rPr>
      </w:pPr>
      <w:r>
        <w:rPr>
          <w:b/>
          <w:smallCaps/>
          <w:color w:val="000080"/>
        </w:rPr>
        <w:t>Article 11. Assignment; Binding Effect</w:t>
        <w:tab/>
        <w:t>12</w:t>
      </w:r>
    </w:p>
    <w:p>
      <w:pPr>
        <w:pStyle w:val="Normal"/>
        <w:tabs>
          <w:tab w:val="clear" w:pos="720"/>
          <w:tab w:val="left" w:pos="1440" w:leader="none"/>
          <w:tab w:val="right" w:pos="8550" w:leader="dot"/>
        </w:tabs>
        <w:spacing w:before="120" w:after="0"/>
        <w:ind w:start="720" w:end="0"/>
        <w:rPr>
          <w:color w:val="000080"/>
        </w:rPr>
      </w:pPr>
      <w:r>
        <w:rPr>
          <w:color w:val="000080"/>
        </w:rPr>
        <w:t>11.1.</w:t>
        <w:tab/>
        <w:t>Assignment</w:t>
        <w:tab/>
        <w:t>12</w:t>
      </w:r>
    </w:p>
    <w:p>
      <w:pPr>
        <w:pStyle w:val="Normal"/>
        <w:tabs>
          <w:tab w:val="clear" w:pos="720"/>
          <w:tab w:val="left" w:pos="1440" w:leader="none"/>
          <w:tab w:val="right" w:pos="8550" w:leader="dot"/>
        </w:tabs>
        <w:ind w:start="720" w:end="0"/>
        <w:rPr>
          <w:color w:val="000080"/>
        </w:rPr>
      </w:pPr>
      <w:r>
        <w:rPr>
          <w:color w:val="000080"/>
        </w:rPr>
        <w:t>11.2.</w:t>
        <w:tab/>
        <w:t>Binding Effect</w:t>
        <w:tab/>
        <w:t>12</w:t>
      </w:r>
    </w:p>
    <w:p>
      <w:pPr>
        <w:pStyle w:val="Normal"/>
        <w:tabs>
          <w:tab w:val="clear" w:pos="720"/>
          <w:tab w:val="right" w:pos="8550" w:leader="dot"/>
        </w:tabs>
        <w:spacing w:before="120" w:after="120"/>
        <w:rPr>
          <w:b/>
          <w:smallCaps/>
          <w:color w:val="000080"/>
        </w:rPr>
      </w:pPr>
      <w:r>
        <w:rPr>
          <w:b/>
          <w:smallCaps/>
          <w:color w:val="000080"/>
        </w:rPr>
        <w:t>Article 12. Force Majeure and Limitation of Liability</w:t>
        <w:tab/>
        <w:t>12</w:t>
      </w:r>
    </w:p>
    <w:p>
      <w:pPr>
        <w:pStyle w:val="Normal"/>
        <w:tabs>
          <w:tab w:val="clear" w:pos="720"/>
          <w:tab w:val="left" w:pos="1440" w:leader="none"/>
          <w:tab w:val="right" w:pos="8550" w:leader="dot"/>
        </w:tabs>
        <w:spacing w:before="120" w:after="0"/>
        <w:ind w:start="720" w:end="0"/>
        <w:rPr>
          <w:color w:val="000080"/>
        </w:rPr>
      </w:pPr>
      <w:r>
        <w:rPr>
          <w:color w:val="000080"/>
        </w:rPr>
        <w:t>12.1.</w:t>
        <w:tab/>
        <w:t>Force Majeure</w:t>
        <w:tab/>
        <w:t>12</w:t>
      </w:r>
    </w:p>
    <w:p>
      <w:pPr>
        <w:pStyle w:val="Normal"/>
        <w:tabs>
          <w:tab w:val="clear" w:pos="720"/>
          <w:tab w:val="left" w:pos="1440" w:leader="none"/>
          <w:tab w:val="right" w:pos="8550" w:leader="dot"/>
        </w:tabs>
        <w:ind w:start="720" w:end="0"/>
        <w:rPr>
          <w:color w:val="000080"/>
        </w:rPr>
      </w:pPr>
      <w:r>
        <w:rPr>
          <w:color w:val="000080"/>
        </w:rPr>
        <w:t>12.2.</w:t>
        <w:tab/>
        <w:t>Limitation on Remedies, Liabilities and Damages</w:t>
        <w:tab/>
        <w:t>13</w:t>
      </w:r>
    </w:p>
    <w:p>
      <w:pPr>
        <w:pStyle w:val="Normal"/>
        <w:tabs>
          <w:tab w:val="clear" w:pos="720"/>
          <w:tab w:val="left" w:pos="1440" w:leader="none"/>
          <w:tab w:val="right" w:pos="8550" w:leader="dot"/>
        </w:tabs>
        <w:ind w:start="720" w:end="0"/>
        <w:rPr>
          <w:color w:val="000080"/>
        </w:rPr>
      </w:pPr>
      <w:r>
        <w:rPr>
          <w:color w:val="000080"/>
        </w:rPr>
        <w:t>12.3.</w:t>
        <w:tab/>
        <w:t>Duty to Mitigate</w:t>
        <w:tab/>
        <w:t>13</w:t>
      </w:r>
    </w:p>
    <w:p>
      <w:pPr>
        <w:pStyle w:val="Normal"/>
        <w:tabs>
          <w:tab w:val="clear" w:pos="720"/>
          <w:tab w:val="left" w:pos="1440" w:leader="none"/>
          <w:tab w:val="right" w:pos="8550" w:leader="dot"/>
        </w:tabs>
        <w:ind w:start="720" w:end="0"/>
        <w:rPr>
          <w:color w:val="000080"/>
        </w:rPr>
      </w:pPr>
      <w:r>
        <w:rPr>
          <w:color w:val="000080"/>
        </w:rPr>
        <w:t>12.4.</w:t>
        <w:tab/>
        <w:t>UCC</w:t>
        <w:tab/>
        <w:t>13</w:t>
      </w:r>
    </w:p>
    <w:p>
      <w:pPr>
        <w:pStyle w:val="Normal"/>
        <w:tabs>
          <w:tab w:val="clear" w:pos="720"/>
          <w:tab w:val="right" w:pos="8550" w:leader="dot"/>
        </w:tabs>
        <w:spacing w:before="120" w:after="120"/>
        <w:rPr>
          <w:b/>
          <w:smallCaps/>
          <w:color w:val="000080"/>
        </w:rPr>
      </w:pPr>
      <w:r>
        <w:rPr>
          <w:b/>
          <w:smallCaps/>
          <w:color w:val="000080"/>
        </w:rPr>
        <w:t>Article 13. Taxes; Stranded Costs; Environmental Costs</w:t>
        <w:tab/>
        <w:t>13</w:t>
      </w:r>
    </w:p>
    <w:p>
      <w:pPr>
        <w:pStyle w:val="Normal"/>
        <w:tabs>
          <w:tab w:val="clear" w:pos="720"/>
          <w:tab w:val="left" w:pos="1440" w:leader="none"/>
          <w:tab w:val="right" w:pos="8550" w:leader="dot"/>
        </w:tabs>
        <w:spacing w:before="120" w:after="0"/>
        <w:ind w:start="720" w:end="0"/>
        <w:rPr>
          <w:color w:val="000080"/>
        </w:rPr>
      </w:pPr>
      <w:r>
        <w:rPr>
          <w:color w:val="000080"/>
        </w:rPr>
        <w:t>13.1.</w:t>
        <w:tab/>
        <w:t>Taxes</w:t>
        <w:tab/>
        <w:t>13</w:t>
      </w:r>
    </w:p>
    <w:p>
      <w:pPr>
        <w:pStyle w:val="Normal"/>
        <w:tabs>
          <w:tab w:val="clear" w:pos="720"/>
          <w:tab w:val="left" w:pos="1440" w:leader="none"/>
          <w:tab w:val="right" w:pos="8550" w:leader="dot"/>
        </w:tabs>
        <w:ind w:start="720" w:end="0"/>
        <w:rPr>
          <w:color w:val="000080"/>
        </w:rPr>
      </w:pPr>
      <w:r>
        <w:rPr>
          <w:color w:val="000080"/>
        </w:rPr>
        <w:t>13.2.</w:t>
        <w:tab/>
        <w:t>Applicable Taxes</w:t>
        <w:tab/>
        <w:t>14</w:t>
      </w:r>
    </w:p>
    <w:p>
      <w:pPr>
        <w:pStyle w:val="Normal"/>
        <w:tabs>
          <w:tab w:val="clear" w:pos="720"/>
          <w:tab w:val="left" w:pos="1440" w:leader="none"/>
          <w:tab w:val="right" w:pos="8550" w:leader="dot"/>
        </w:tabs>
        <w:ind w:start="720" w:end="0"/>
        <w:rPr>
          <w:color w:val="000080"/>
        </w:rPr>
      </w:pPr>
      <w:r>
        <w:rPr>
          <w:color w:val="000080"/>
        </w:rPr>
        <w:t>13.3.</w:t>
        <w:tab/>
        <w:t>Stranded Costs</w:t>
        <w:tab/>
        <w:t>15</w:t>
      </w:r>
    </w:p>
    <w:p>
      <w:pPr>
        <w:pStyle w:val="Normal"/>
        <w:keepNext w:val="true"/>
        <w:tabs>
          <w:tab w:val="clear" w:pos="720"/>
          <w:tab w:val="left" w:pos="1440" w:leader="none"/>
          <w:tab w:val="right" w:pos="8550" w:leader="dot"/>
        </w:tabs>
        <w:spacing w:before="240" w:after="120"/>
        <w:rPr>
          <w:b/>
          <w:smallCaps/>
          <w:color w:val="000080"/>
        </w:rPr>
      </w:pPr>
      <w:r>
        <w:rPr>
          <w:b/>
          <w:smallCaps/>
          <w:color w:val="000080"/>
        </w:rPr>
        <w:t>Article 14. Confidentiality</w:t>
        <w:tab/>
        <w:t>15</w:t>
      </w:r>
    </w:p>
    <w:p>
      <w:pPr>
        <w:pStyle w:val="Normal"/>
        <w:tabs>
          <w:tab w:val="clear" w:pos="720"/>
          <w:tab w:val="left" w:pos="1440" w:leader="none"/>
          <w:tab w:val="right" w:pos="8550" w:leader="dot"/>
        </w:tabs>
        <w:spacing w:before="120" w:after="0"/>
        <w:ind w:start="720" w:end="0"/>
        <w:rPr>
          <w:color w:val="000080"/>
        </w:rPr>
      </w:pPr>
      <w:r>
        <w:rPr>
          <w:color w:val="000080"/>
        </w:rPr>
        <w:t>14.1.</w:t>
        <w:tab/>
        <w:t>Confidentiality</w:t>
        <w:tab/>
        <w:t>15</w:t>
      </w:r>
    </w:p>
    <w:p>
      <w:pPr>
        <w:pStyle w:val="Normal"/>
        <w:tabs>
          <w:tab w:val="clear" w:pos="720"/>
          <w:tab w:val="right" w:pos="8550" w:leader="dot"/>
        </w:tabs>
        <w:spacing w:before="120" w:after="120"/>
        <w:rPr>
          <w:b/>
          <w:smallCaps/>
          <w:color w:val="000080"/>
        </w:rPr>
      </w:pPr>
      <w:r>
        <w:rPr>
          <w:b/>
          <w:smallCaps/>
          <w:color w:val="000080"/>
        </w:rPr>
        <w:t>Article 15. Notices</w:t>
        <w:tab/>
        <w:t>15</w:t>
      </w:r>
    </w:p>
    <w:p>
      <w:pPr>
        <w:pStyle w:val="Normal"/>
        <w:tabs>
          <w:tab w:val="clear" w:pos="720"/>
          <w:tab w:val="left" w:pos="1440" w:leader="none"/>
          <w:tab w:val="right" w:pos="8550" w:leader="dot"/>
        </w:tabs>
        <w:spacing w:before="120" w:after="0"/>
        <w:ind w:start="720" w:end="0"/>
        <w:rPr>
          <w:color w:val="000080"/>
        </w:rPr>
      </w:pPr>
      <w:r>
        <w:rPr>
          <w:color w:val="000080"/>
        </w:rPr>
        <w:t>15.1.</w:t>
        <w:tab/>
        <w:t>Notices</w:t>
        <w:tab/>
        <w:t>15</w:t>
      </w:r>
    </w:p>
    <w:p>
      <w:pPr>
        <w:pStyle w:val="Normal"/>
        <w:tabs>
          <w:tab w:val="clear" w:pos="720"/>
          <w:tab w:val="right" w:pos="8550" w:leader="dot"/>
        </w:tabs>
        <w:spacing w:before="120" w:after="120"/>
        <w:rPr>
          <w:b/>
          <w:smallCaps/>
          <w:color w:val="000080"/>
        </w:rPr>
      </w:pPr>
      <w:r>
        <w:rPr>
          <w:b/>
          <w:smallCaps/>
          <w:color w:val="000080"/>
        </w:rPr>
        <w:t>Article 16. Miscellaneous</w:t>
        <w:tab/>
        <w:t>15</w:t>
      </w:r>
    </w:p>
    <w:p>
      <w:pPr>
        <w:pStyle w:val="Normal"/>
        <w:tabs>
          <w:tab w:val="clear" w:pos="720"/>
          <w:tab w:val="left" w:pos="1440" w:leader="none"/>
          <w:tab w:val="right" w:pos="8550" w:leader="dot"/>
        </w:tabs>
        <w:spacing w:before="120" w:after="0"/>
        <w:ind w:start="720" w:end="0"/>
        <w:rPr>
          <w:color w:val="000080"/>
        </w:rPr>
      </w:pPr>
      <w:r>
        <w:rPr>
          <w:color w:val="000080"/>
        </w:rPr>
        <w:t>16.1.</w:t>
        <w:tab/>
        <w:t>Entirety</w:t>
        <w:tab/>
        <w:t>15</w:t>
      </w:r>
    </w:p>
    <w:p>
      <w:pPr>
        <w:pStyle w:val="Normal"/>
        <w:tabs>
          <w:tab w:val="clear" w:pos="720"/>
          <w:tab w:val="left" w:pos="1440" w:leader="none"/>
          <w:tab w:val="right" w:pos="8550" w:leader="dot"/>
        </w:tabs>
        <w:ind w:start="720" w:end="0"/>
        <w:rPr>
          <w:color w:val="000080"/>
        </w:rPr>
      </w:pPr>
      <w:r>
        <w:rPr>
          <w:color w:val="000080"/>
        </w:rPr>
        <w:t>16.2.</w:t>
        <w:tab/>
        <w:t>Governing Law</w:t>
        <w:tab/>
        <w:t>15</w:t>
      </w:r>
    </w:p>
    <w:p>
      <w:pPr>
        <w:pStyle w:val="Normal"/>
        <w:tabs>
          <w:tab w:val="clear" w:pos="720"/>
          <w:tab w:val="left" w:pos="1440" w:leader="none"/>
          <w:tab w:val="right" w:pos="8550" w:leader="dot"/>
        </w:tabs>
        <w:ind w:start="720" w:end="0"/>
        <w:rPr>
          <w:color w:val="000080"/>
        </w:rPr>
      </w:pPr>
      <w:r>
        <w:rPr>
          <w:color w:val="000080"/>
        </w:rPr>
        <w:t>16.3</w:t>
        <w:tab/>
        <w:t>Non-Waiver</w:t>
        <w:tab/>
        <w:t>15</w:t>
      </w:r>
    </w:p>
    <w:p>
      <w:pPr>
        <w:pStyle w:val="Normal"/>
        <w:tabs>
          <w:tab w:val="clear" w:pos="720"/>
          <w:tab w:val="left" w:pos="1440" w:leader="none"/>
          <w:tab w:val="right" w:pos="8550" w:leader="dot"/>
        </w:tabs>
        <w:ind w:start="720" w:end="0"/>
        <w:rPr>
          <w:color w:val="000080"/>
        </w:rPr>
      </w:pPr>
      <w:r>
        <w:rPr>
          <w:color w:val="000080"/>
        </w:rPr>
        <w:t>16.4.</w:t>
        <w:tab/>
        <w:t>Severability</w:t>
        <w:tab/>
        <w:t>16</w:t>
      </w:r>
    </w:p>
    <w:p>
      <w:pPr>
        <w:pStyle w:val="Normal"/>
        <w:tabs>
          <w:tab w:val="clear" w:pos="720"/>
          <w:tab w:val="left" w:pos="1440" w:leader="none"/>
          <w:tab w:val="right" w:pos="8550" w:leader="dot"/>
        </w:tabs>
        <w:ind w:start="720" w:end="0"/>
        <w:rPr>
          <w:color w:val="000080"/>
        </w:rPr>
      </w:pPr>
      <w:r>
        <w:rPr>
          <w:color w:val="000080"/>
        </w:rPr>
        <w:t>16.5.</w:t>
        <w:tab/>
        <w:t>Headings; Exhibits</w:t>
        <w:tab/>
        <w:t>16</w:t>
      </w:r>
    </w:p>
    <w:p>
      <w:pPr>
        <w:pStyle w:val="Normal"/>
        <w:tabs>
          <w:tab w:val="clear" w:pos="720"/>
          <w:tab w:val="left" w:pos="1440" w:leader="none"/>
          <w:tab w:val="right" w:pos="8550" w:leader="dot"/>
        </w:tabs>
        <w:ind w:start="720" w:end="0"/>
        <w:rPr>
          <w:color w:val="000080"/>
        </w:rPr>
      </w:pPr>
      <w:r>
        <w:rPr>
          <w:color w:val="000080"/>
        </w:rPr>
        <w:t>16.6.</w:t>
        <w:tab/>
        <w:t>Winding Up Arrangements</w:t>
        <w:tab/>
        <w:t>16</w:t>
      </w:r>
    </w:p>
    <w:p>
      <w:pPr>
        <w:pStyle w:val="Normal"/>
        <w:tabs>
          <w:tab w:val="clear" w:pos="720"/>
          <w:tab w:val="left" w:pos="1440" w:leader="none"/>
          <w:tab w:val="right" w:pos="8550" w:leader="dot"/>
        </w:tabs>
        <w:ind w:start="720" w:end="0"/>
        <w:rPr>
          <w:color w:val="000080"/>
        </w:rPr>
      </w:pPr>
      <w:r>
        <w:rPr>
          <w:color w:val="000080"/>
        </w:rPr>
        <w:t>16.7.</w:t>
        <w:tab/>
        <w:t>No Third Party Beneficiaries</w:t>
        <w:tab/>
        <w:t>16</w:t>
      </w:r>
    </w:p>
    <w:p>
      <w:pPr>
        <w:pStyle w:val="Normal"/>
        <w:tabs>
          <w:tab w:val="clear" w:pos="720"/>
          <w:tab w:val="left" w:pos="1440" w:leader="none"/>
          <w:tab w:val="right" w:pos="8550" w:leader="dot"/>
        </w:tabs>
        <w:ind w:start="720" w:end="0"/>
        <w:rPr>
          <w:color w:val="000080"/>
        </w:rPr>
      </w:pPr>
      <w:r>
        <w:rPr>
          <w:color w:val="000080"/>
        </w:rPr>
        <w:t>16.8.</w:t>
        <w:tab/>
        <w:t>Counterparts</w:t>
        <w:tab/>
        <w:t>16</w:t>
      </w:r>
    </w:p>
    <w:p>
      <w:pPr>
        <w:pStyle w:val="Normal"/>
        <w:tabs>
          <w:tab w:val="clear" w:pos="720"/>
          <w:tab w:val="left" w:pos="1440" w:leader="none"/>
          <w:tab w:val="right" w:pos="8550" w:leader="dot"/>
        </w:tabs>
        <w:ind w:start="720" w:end="0"/>
        <w:rPr>
          <w:color w:val="000080"/>
        </w:rPr>
      </w:pPr>
      <w:r>
        <w:rPr>
          <w:color w:val="000080"/>
        </w:rPr>
        <w:t>16.9.</w:t>
        <w:tab/>
        <w:t>Dispute Resolution</w:t>
        <w:tab/>
        <w:t>16</w:t>
      </w:r>
    </w:p>
    <w:p>
      <w:pPr>
        <w:sectPr>
          <w:footerReference w:type="default" r:id="rId2"/>
          <w:type w:val="nextPage"/>
          <w:pgSz w:w="12240" w:h="15840"/>
          <w:pgMar w:left="1440" w:right="1440" w:gutter="0" w:header="0" w:top="1440" w:footer="720" w:bottom="1440"/>
          <w:pgNumType w:start="1" w:fmt="lowerRoman"/>
          <w:formProt w:val="false"/>
          <w:textDirection w:val="lrTb"/>
          <w:docGrid w:type="default" w:linePitch="360" w:charSpace="0"/>
        </w:sectPr>
        <w:pStyle w:val="Normal"/>
        <w:tabs>
          <w:tab w:val="clear" w:pos="720"/>
          <w:tab w:val="left" w:pos="1440" w:leader="none"/>
          <w:tab w:val="right" w:pos="8550" w:leader="dot"/>
        </w:tabs>
        <w:ind w:start="720" w:end="0"/>
        <w:rPr>
          <w:color w:val="000080"/>
        </w:rPr>
      </w:pPr>
      <w:r>
        <w:rPr>
          <w:color w:val="000080"/>
        </w:rPr>
      </w:r>
    </w:p>
    <w:p>
      <w:pPr>
        <w:pStyle w:val="Normal"/>
        <w:tabs>
          <w:tab w:val="clear" w:pos="720"/>
          <w:tab w:val="left" w:pos="1440" w:leader="none"/>
          <w:tab w:val="right" w:pos="8550" w:leader="dot"/>
        </w:tabs>
        <w:ind w:start="720" w:end="0"/>
        <w:rPr>
          <w:color w:val="000080"/>
        </w:rPr>
      </w:pPr>
      <w:r>
        <w:rPr>
          <w:color w:val="000080"/>
        </w:rPr>
      </w:r>
    </w:p>
    <w:p>
      <w:pPr>
        <w:pStyle w:val="Normal"/>
        <w:rPr>
          <w:color w:val="000080"/>
          <w:sz w:val="28"/>
        </w:rPr>
      </w:pPr>
      <w:r>
        <w:rPr>
          <w:color w:val="000080"/>
          <w:sz w:val="28"/>
        </w:rPr>
      </w:r>
    </w:p>
    <w:p>
      <w:pPr>
        <w:pStyle w:val="Normal"/>
        <w:rPr>
          <w:sz w:val="28"/>
        </w:rPr>
      </w:pPr>
      <w:r>
        <w:rPr>
          <w:sz w:val="28"/>
        </w:rPr>
      </w:r>
    </w:p>
    <w:p>
      <w:pPr>
        <w:pStyle w:val="Normal"/>
        <w:spacing w:before="120" w:after="120"/>
        <w:jc w:val="center"/>
        <w:rPr>
          <w:b/>
        </w:rPr>
      </w:pPr>
      <w:r>
        <w:rPr>
          <w:b/>
        </w:rPr>
        <w:t>POWER PURCHASE AND SALE AGREEMENT</w:t>
      </w:r>
    </w:p>
    <w:p>
      <w:pPr>
        <w:pStyle w:val="Justified"/>
        <w:rPr/>
      </w:pPr>
      <w:r>
        <w:rPr/>
        <w:tab/>
        <w:t>This Power Purchase and Sale Agreement</w:t>
      </w:r>
      <w:r>
        <w:rPr>
          <w:b/>
        </w:rPr>
        <w:t xml:space="preserve"> </w:t>
      </w:r>
      <w:r>
        <w:rPr/>
        <w:t xml:space="preserve">(this "Agreement") is entered into effective as of the _____ day of __________________, 1999 (the "Effective Date"), by and between </w:t>
      </w:r>
      <w:r>
        <w:rPr>
          <w:b/>
        </w:rPr>
        <w:t>ENRON POWER MARKETING, INC.</w:t>
      </w:r>
      <w:r>
        <w:rPr/>
        <w:t xml:space="preserve">, a Delaware corporation ("Seller"), and </w:t>
      </w:r>
      <w:r>
        <w:rPr>
          <w:b/>
        </w:rPr>
        <w:t>MERRILL LYNCH CAPITAL SERVICES, INC.</w:t>
      </w:r>
      <w:r>
        <w:rPr/>
        <w:t>, a Delaware corporation ("Buyer").  Seller and Buyer are also referred to herein individually as a "Party" and collectively as the "Parties."</w:t>
      </w:r>
    </w:p>
    <w:p>
      <w:pPr>
        <w:pStyle w:val="Justified"/>
        <w:jc w:val="center"/>
        <w:rPr>
          <w:b/>
        </w:rPr>
      </w:pPr>
      <w:r>
        <w:rPr>
          <w:b/>
        </w:rPr>
        <w:t>RECITALS</w:t>
      </w:r>
    </w:p>
    <w:p>
      <w:pPr>
        <w:pStyle w:val="Justified"/>
        <w:rPr/>
      </w:pPr>
      <w:r>
        <w:rPr/>
        <w:t>A.</w:t>
        <w:tab/>
        <w:t>Buyer and Seller desire that Seller sell to Buyer electric energy at certain Delivery Points (as hereinafter defined).</w:t>
      </w:r>
    </w:p>
    <w:p>
      <w:pPr>
        <w:pStyle w:val="Justified"/>
        <w:rPr/>
      </w:pPr>
      <w:r>
        <w:rPr/>
        <w:t>B.</w:t>
        <w:tab/>
        <w:t>The Parties desire to set forth herein the terms and conditions of their understanding concerning the foregoing matters.</w:t>
      </w:r>
    </w:p>
    <w:p>
      <w:pPr>
        <w:pStyle w:val="Heading1"/>
        <w:ind w:hanging="0" w:start="0"/>
        <w:rPr/>
      </w:pPr>
      <w:r>
        <w:rPr/>
        <w:t>ARTICLE 1.</w:t>
        <w:br/>
        <w:t>DEFINITIONS</w:t>
      </w:r>
    </w:p>
    <w:p>
      <w:pPr>
        <w:pStyle w:val="Heading2"/>
        <w:ind w:hanging="720" w:start="720" w:end="0"/>
        <w:rPr/>
      </w:pPr>
      <w:r>
        <w:rPr/>
        <w:t>1.1</w:t>
        <w:tab/>
      </w:r>
      <w:r>
        <w:rPr>
          <w:b/>
          <w:u w:val="single"/>
        </w:rPr>
        <w:t>Definitions</w:t>
      </w:r>
      <w:r>
        <w:rPr/>
        <w:t>.  As used in this Agreement, the following terms shall have the respective meanings set forth below.  Certain other capitalized terms are defined where they appear in this Agreement.</w:t>
      </w:r>
    </w:p>
    <w:p>
      <w:pPr>
        <w:pStyle w:val="Justified"/>
        <w:ind w:start="720" w:end="0"/>
        <w:rPr/>
      </w:pPr>
      <w:r>
        <w:rPr>
          <w:b/>
          <w:i/>
        </w:rPr>
        <w:t>"Affiliate"</w:t>
      </w:r>
      <w:r>
        <w:rPr/>
        <w:t xml:space="preserve"> means any person that directly or indirectly Controls, is Controlled by, or is under common Control with the person in question.</w:t>
      </w:r>
    </w:p>
    <w:p>
      <w:pPr>
        <w:pStyle w:val="Justified"/>
        <w:ind w:start="720" w:end="0"/>
        <w:rPr/>
      </w:pPr>
      <w:r>
        <w:rPr>
          <w:b/>
          <w:i/>
        </w:rPr>
        <w:t>"Bankruptcy Proceeding"</w:t>
      </w:r>
      <w:r>
        <w:rPr/>
        <w:t xml:space="preserve"> means with respect to a Party or entity, such Party or entity (i) makes an assignment or any general arrangement for the benefit of creditors,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30 days after such filing, (iii) otherwise becomes bankrupt or insolvent (however evidenced) or (iv) is unable to pay its debts as they fall due.</w:t>
      </w:r>
    </w:p>
    <w:p>
      <w:pPr>
        <w:pStyle w:val="Justified"/>
        <w:ind w:start="720" w:end="0"/>
        <w:rPr/>
      </w:pPr>
      <w:r>
        <w:rPr>
          <w:b/>
          <w:i/>
        </w:rPr>
        <w:t>"Business Day"</w:t>
      </w:r>
      <w:r>
        <w:rPr/>
        <w:t xml:space="preserve"> means a Day, other than a NERC holiday, on which Federal Reserve member banks in New York City are open for business; and a Business Day shall open at 8:00 a.m. and close at 5:00 p.m. local time for each Party’s principal place of business.</w:t>
      </w:r>
    </w:p>
    <w:p>
      <w:pPr>
        <w:pStyle w:val="Justified"/>
        <w:ind w:start="720" w:end="0"/>
        <w:rPr/>
      </w:pPr>
      <w:r>
        <w:rPr>
          <w:b/>
          <w:i/>
        </w:rPr>
        <w:t>"Claims"</w:t>
      </w:r>
      <w:r>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ind w:start="720" w:end="0"/>
        <w:rPr>
          <w:b/>
          <w:i/>
          <w:i/>
          <w:sz w:val="20"/>
        </w:rPr>
      </w:pPr>
      <w:r>
        <w:rPr>
          <w:b/>
          <w:i/>
        </w:rPr>
        <w:t>"Contract Price"</w:t>
      </w:r>
      <w:r>
        <w:rPr/>
        <w:t xml:space="preserve"> means collectively, the Demand Charges and the Energy Charges, as set forth in Article 4.</w:t>
      </w:r>
    </w:p>
    <w:p>
      <w:pPr>
        <w:pStyle w:val="Justified"/>
        <w:ind w:start="720" w:end="0"/>
        <w:rPr/>
      </w:pPr>
      <w:r>
        <w:rPr>
          <w:b/>
          <w:i/>
        </w:rPr>
        <w:t>"Contract Quantity"</w:t>
      </w:r>
      <w:r>
        <w:rPr/>
        <w:t xml:space="preserve"> means the amount of Energy to be purchased and sold hereunder, as set forth in Section 3.1.</w:t>
      </w:r>
    </w:p>
    <w:p>
      <w:pPr>
        <w:pStyle w:val="Justified"/>
        <w:ind w:start="720" w:end="0"/>
        <w:rPr/>
      </w:pPr>
      <w:r>
        <w:rPr>
          <w:b/>
          <w:i/>
        </w:rPr>
        <w:t>"Contract Term"</w:t>
      </w:r>
      <w:r>
        <w:rPr/>
        <w:t xml:space="preserve"> means the term specified in Section 2.1.</w:t>
      </w:r>
    </w:p>
    <w:p>
      <w:pPr>
        <w:pStyle w:val="Justified"/>
        <w:ind w:start="720" w:end="0"/>
        <w:rPr/>
      </w:pPr>
      <w:r>
        <w:rPr>
          <w:b/>
          <w:i/>
        </w:rPr>
        <w:t>"Control"</w:t>
      </w:r>
      <w:r>
        <w:rPr/>
        <w:t xml:space="preserve"> means the possession, directly or indirectly, through one or more intermediaries, of the following:  (a) in the case of a corporation, 50% or more of the outstanding voting securities thereof; (b) in the case of a limited liability company, partnership, limited partnership or venture, the right to 50% or more of the distributions therefrom (including liquidating distributions); (c) in the case of a trust or estate, 50% or more of the beneficial interest therein; (d) in the case of any other entity, 50% or more of the economic or beneficial interest therein; or (e) in the case of any entity, the power or authority, through the ownership of voting securities, by contract or otherwise, to direct the management, activities or policies of the entity.</w:t>
      </w:r>
    </w:p>
    <w:p>
      <w:pPr>
        <w:pStyle w:val="Normal"/>
        <w:suppressAutoHyphens w:val="true"/>
        <w:spacing w:before="0" w:after="120"/>
        <w:ind w:firstLine="90" w:start="630" w:end="0"/>
        <w:rPr/>
      </w:pPr>
      <w:r>
        <w:rPr/>
        <w:t>"</w:t>
      </w:r>
      <w:r>
        <w:rPr>
          <w:b/>
          <w:i/>
        </w:rPr>
        <w:t>Credit Support Document</w:t>
      </w:r>
      <w:r>
        <w:rPr/>
        <w:t>" means the Enron Guarantee, the ML&amp;Co. Guarantee[, and the Credit Support Annex] and any other collateral, security, guaranty or other similar agreement undertaken in connection with this Agreement.</w:t>
      </w:r>
    </w:p>
    <w:p>
      <w:pPr>
        <w:pStyle w:val="Heading2"/>
        <w:ind w:hanging="0" w:start="720" w:end="0"/>
        <w:rPr/>
      </w:pPr>
      <w:r>
        <w:rPr/>
        <w:t>"</w:t>
      </w:r>
      <w:r>
        <w:rPr>
          <w:b/>
          <w:i/>
        </w:rPr>
        <w:t>Credit Support Provider</w:t>
      </w:r>
      <w:r>
        <w:rPr/>
        <w:t>" means, as to Buyer, Merrill Lynch &amp; Co., Inc. (“ML&amp;Co.”), as to Seller, Enron Corp.</w:t>
      </w:r>
    </w:p>
    <w:p>
      <w:pPr>
        <w:pStyle w:val="Justified"/>
        <w:ind w:start="720" w:end="0"/>
        <w:rPr/>
      </w:pPr>
      <w:r>
        <w:rPr>
          <w:b/>
        </w:rPr>
        <w:t>“</w:t>
      </w:r>
      <w:r>
        <w:rPr>
          <w:b/>
          <w:i/>
        </w:rPr>
        <w:t>Day</w:t>
      </w:r>
      <w:r>
        <w:rPr>
          <w:b/>
        </w:rPr>
        <w:t>”</w:t>
      </w:r>
      <w:r>
        <w:rPr/>
        <w:t xml:space="preserve"> means the period of twenty four (24) hours from 12:00 midnight through 11:59 p.m. of each calendar day.</w:t>
      </w:r>
    </w:p>
    <w:p>
      <w:pPr>
        <w:pStyle w:val="Justified"/>
        <w:ind w:start="720" w:end="0"/>
        <w:rPr/>
      </w:pPr>
      <w:r>
        <w:rPr>
          <w:b/>
          <w:i/>
        </w:rPr>
        <w:t>"Delivery Points"</w:t>
      </w:r>
      <w:r>
        <w:rPr/>
        <w:t xml:space="preserve"> means the points of interconnection set forth in Section 6.1.</w:t>
      </w:r>
    </w:p>
    <w:p>
      <w:pPr>
        <w:pStyle w:val="Justified"/>
        <w:ind w:start="720" w:end="0"/>
        <w:rPr/>
      </w:pPr>
      <w:r>
        <w:rPr>
          <w:b/>
          <w:i/>
        </w:rPr>
        <w:t>"Delivery Term"</w:t>
      </w:r>
      <w:r>
        <w:rPr/>
        <w:t xml:space="preserve"> means the term for the purchase and sale of Energy hereunder, as set forth in Section 2.2.</w:t>
      </w:r>
    </w:p>
    <w:p>
      <w:pPr>
        <w:pStyle w:val="Justified"/>
        <w:ind w:start="720" w:end="0"/>
        <w:rPr/>
      </w:pPr>
      <w:r>
        <w:rPr>
          <w:b/>
          <w:i/>
        </w:rPr>
        <w:t>"Demand Charge"</w:t>
      </w:r>
      <w:r>
        <w:rPr/>
        <w:t xml:space="preserve"> means a fixed demand payment to be paid by Buyer to Seller each Month during the Delivery Term, for Buyer's right to request Energy in accordance with this Agreement, all as more particularly set forth in Section 4.2.</w:t>
      </w:r>
    </w:p>
    <w:p>
      <w:pPr>
        <w:pStyle w:val="Heading2"/>
        <w:ind w:hanging="0" w:start="720" w:end="0"/>
        <w:rPr/>
      </w:pPr>
      <w:r>
        <w:rPr>
          <w:b/>
          <w:i/>
        </w:rPr>
        <w:t>"Dollar"</w:t>
      </w:r>
      <w:r>
        <w:rPr/>
        <w:t xml:space="preserve"> means a unit of currency denominated in United States Dollars.</w:t>
      </w:r>
    </w:p>
    <w:p>
      <w:pPr>
        <w:pStyle w:val="Justified"/>
        <w:ind w:start="720" w:end="0"/>
        <w:rPr/>
      </w:pPr>
      <w:r>
        <w:rPr>
          <w:b/>
          <w:i/>
        </w:rPr>
        <w:t>"Energy"</w:t>
      </w:r>
      <w:r>
        <w:rPr/>
        <w:t xml:space="preserve"> means electric energy.</w:t>
      </w:r>
    </w:p>
    <w:p>
      <w:pPr>
        <w:pStyle w:val="Justified"/>
        <w:ind w:start="720" w:end="0"/>
        <w:rPr/>
      </w:pPr>
      <w:r>
        <w:rPr>
          <w:b/>
          <w:i/>
        </w:rPr>
        <w:t>"Energy Charge"</w:t>
      </w:r>
      <w:r>
        <w:rPr/>
        <w:t xml:space="preserve"> means the amount to be paid by Buyer to Seller each Month during the Delivery Term for each MWh of the Contract Quantity of Energy delivered as set forth in Section 4.3.</w:t>
      </w:r>
    </w:p>
    <w:p>
      <w:pPr>
        <w:pStyle w:val="Normal"/>
        <w:suppressAutoHyphens w:val="true"/>
        <w:spacing w:before="0" w:after="120"/>
        <w:ind w:start="720" w:end="0"/>
        <w:rPr/>
      </w:pPr>
      <w:r>
        <w:rPr/>
        <w:t>"</w:t>
      </w:r>
      <w:r>
        <w:rPr>
          <w:b/>
          <w:i/>
        </w:rPr>
        <w:t>Enron Guarantee</w:t>
      </w:r>
      <w:r>
        <w:rPr/>
        <w:t xml:space="preserve">" means the Guarantee of Enron Corp. in the form of </w:t>
      </w:r>
      <w:r>
        <w:rPr>
          <w:u w:val="single"/>
        </w:rPr>
        <w:t xml:space="preserve">Exhibit C </w:t>
      </w:r>
      <w:r>
        <w:rPr/>
        <w:t>hereto.</w:t>
      </w:r>
    </w:p>
    <w:p>
      <w:pPr>
        <w:pStyle w:val="Justified"/>
        <w:ind w:start="720" w:end="0"/>
        <w:rPr/>
      </w:pPr>
      <w:r>
        <w:rPr>
          <w:b/>
          <w:i/>
        </w:rPr>
        <w:t>"Equitable Defenses"</w:t>
      </w:r>
      <w:r>
        <w:rPr/>
        <w:t xml:space="preserve"> means any bankruptcy, insolvency, reorganization and other laws affecting creditor’s rights generally, and with regard to equitable remedies, the discretion of the court before which proceedings to obtain same may be pending.</w:t>
      </w:r>
    </w:p>
    <w:p>
      <w:pPr>
        <w:pStyle w:val="Justified"/>
        <w:ind w:start="720" w:end="0"/>
        <w:rPr/>
      </w:pPr>
      <w:r>
        <w:rPr>
          <w:b/>
          <w:i/>
        </w:rPr>
        <w:t>"Facility"</w:t>
      </w:r>
      <w:r>
        <w:rPr/>
        <w:t xml:space="preserve"> means each of the Gleason Facility, Lincoln Facility and Wheatland Facility (collectively, the “Facilities”).</w:t>
      </w:r>
    </w:p>
    <w:p>
      <w:pPr>
        <w:pStyle w:val="Justified"/>
        <w:ind w:start="720" w:end="0"/>
        <w:rPr/>
      </w:pPr>
      <w:r>
        <w:rPr>
          <w:b/>
          <w:i/>
        </w:rPr>
        <w:t>"Force Majeure"</w:t>
      </w:r>
      <w:r>
        <w:rPr/>
        <w:t xml:space="preserve"> means an event not anticipated as of the Effective Date, which is not within the reasonable control of the Party claiming suspension (the "Claiming Party"), and which by the exercise of due diligence the Claiming Party is unable to overcome or obtain or cause to be obtained a commercially reasonable substitute therefor; provided that (i) neither the loss of Buyer's markets, (ii) nor Buyer's inability economically to use or resell Energy purchased hereunder, nor (iii) Seller's ability to sell Energy to a market at a more advantageous price, shall constitute an event of Force Majeure.</w:t>
      </w:r>
    </w:p>
    <w:p>
      <w:pPr>
        <w:pStyle w:val="Justified"/>
        <w:ind w:start="720" w:end="0"/>
        <w:rPr/>
      </w:pPr>
      <w:r>
        <w:rPr>
          <w:b/>
          <w:i/>
        </w:rPr>
        <w:t>"Gleason Facility"</w:t>
      </w:r>
      <w:r>
        <w:rPr/>
        <w:t xml:space="preserve"> means that certain natural gas-fired electricity generating facility to be designed, constructed, operated, maintained and owned by Seller or one of its Affiliates in Weakley County, Tennessee.</w:t>
      </w:r>
    </w:p>
    <w:p>
      <w:pPr>
        <w:pStyle w:val="Justified"/>
        <w:ind w:start="720" w:end="0"/>
        <w:rPr/>
      </w:pPr>
      <w:r>
        <w:rPr>
          <w:b/>
          <w:i/>
        </w:rPr>
        <w:t>"</w:t>
      </w:r>
      <w:r>
        <w:rPr>
          <w:b/>
          <w:i/>
          <w:color w:val="000000"/>
        </w:rPr>
        <w:t>Government Authority</w:t>
      </w:r>
      <w:r>
        <w:rPr>
          <w:b/>
          <w:i/>
        </w:rPr>
        <w:t>"</w:t>
      </w:r>
      <w:r>
        <w:rPr>
          <w:i/>
          <w:color w:val="000000"/>
        </w:rPr>
        <w:t xml:space="preserve"> </w:t>
      </w:r>
      <w:r>
        <w:rPr>
          <w:color w:val="000000"/>
        </w:rPr>
        <w:t>means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ind w:start="720" w:end="0"/>
        <w:rPr/>
      </w:pPr>
      <w:r>
        <w:rPr>
          <w:b/>
          <w:i/>
        </w:rPr>
        <w:t>"Interest Rate"</w:t>
      </w:r>
      <w:r>
        <w:rPr/>
        <w:t xml:space="preserve"> means, for any date, two percent (2%) over the per annum rate of interest equal to the prime lending rate as may from time to time be published in the Wall Street Journal under "Money Rates"; </w:t>
      </w:r>
      <w:r>
        <w:rPr>
          <w:i/>
        </w:rPr>
        <w:t>provided,</w:t>
      </w:r>
      <w:r>
        <w:rPr/>
        <w:t xml:space="preserve"> the Interest Rate shall be compounded daily, and shall never exceed the maximum lawful rate permitted by applicable law.</w:t>
      </w:r>
    </w:p>
    <w:p>
      <w:pPr>
        <w:pStyle w:val="Justified"/>
        <w:ind w:start="720" w:end="0"/>
        <w:rPr/>
      </w:pPr>
      <w:r>
        <w:rPr>
          <w:b/>
          <w:i/>
        </w:rPr>
        <w:t>"kW"</w:t>
      </w:r>
      <w:r>
        <w:rPr/>
        <w:t xml:space="preserve"> means one kilowatt.</w:t>
      </w:r>
    </w:p>
    <w:p>
      <w:pPr>
        <w:pStyle w:val="Justified"/>
        <w:ind w:start="720" w:end="0"/>
        <w:rPr/>
      </w:pPr>
      <w:r>
        <w:rPr>
          <w:b/>
          <w:i/>
        </w:rPr>
        <w:t>"Legal Proceedings"</w:t>
      </w:r>
      <w:r>
        <w:rPr/>
        <w:t xml:space="preserve"> means any suits, proceedings, judgments, rulings or orders by or before any court, any arbitrator or any governmental authority or official officer.</w:t>
      </w:r>
    </w:p>
    <w:p>
      <w:pPr>
        <w:pStyle w:val="Justified"/>
        <w:ind w:start="720" w:end="0"/>
        <w:rPr/>
      </w:pPr>
      <w:r>
        <w:rPr>
          <w:b/>
          <w:i/>
        </w:rPr>
        <w:t>"Lincoln Facility"</w:t>
      </w:r>
      <w:r>
        <w:rPr/>
        <w:t xml:space="preserve"> means that certain natural gas-fired electricity generating facility to be designed, constructed, operated, maintained and owned by Seller or one of its Affiliates in Will County, Illinois.</w:t>
      </w:r>
    </w:p>
    <w:p>
      <w:pPr>
        <w:pStyle w:val="Normal"/>
        <w:suppressAutoHyphens w:val="true"/>
        <w:spacing w:before="0" w:after="120"/>
        <w:ind w:start="720" w:end="0"/>
        <w:rPr/>
      </w:pPr>
      <w:r>
        <w:rPr/>
        <w:t>"</w:t>
      </w:r>
      <w:r>
        <w:rPr>
          <w:b/>
          <w:i/>
        </w:rPr>
        <w:t>ML&amp;Co. Guarantee</w:t>
      </w:r>
      <w:r>
        <w:rPr>
          <w:b/>
        </w:rPr>
        <w:t>"</w:t>
      </w:r>
      <w:r>
        <w:rPr/>
        <w:t xml:space="preserve"> means the Guarantee of Merrill Lynch &amp; Co., Inc., a Delaware corporation in the form of </w:t>
      </w:r>
      <w:r>
        <w:rPr>
          <w:u w:val="single"/>
        </w:rPr>
        <w:t>Exhibit D</w:t>
      </w:r>
      <w:r>
        <w:rPr/>
        <w:t xml:space="preserve"> hereto.</w:t>
      </w:r>
    </w:p>
    <w:p>
      <w:pPr>
        <w:pStyle w:val="Justified"/>
        <w:ind w:start="720" w:end="0"/>
        <w:rPr/>
      </w:pPr>
      <w:r>
        <w:rPr>
          <w:b/>
          <w:i/>
        </w:rPr>
        <w:t>"Month"</w:t>
      </w:r>
      <w:r>
        <w:rPr/>
        <w:t xml:space="preserve"> means a calendar month.</w:t>
      </w:r>
    </w:p>
    <w:p>
      <w:pPr>
        <w:pStyle w:val="Justified"/>
        <w:ind w:start="720" w:end="0"/>
        <w:rPr/>
      </w:pPr>
      <w:r>
        <w:rPr>
          <w:b/>
          <w:i/>
        </w:rPr>
        <w:t>"Moody’s"</w:t>
      </w:r>
      <w:r>
        <w:rPr/>
        <w:t xml:space="preserve"> means Moody’s Investor Services, Inc., or its successor.</w:t>
      </w:r>
    </w:p>
    <w:p>
      <w:pPr>
        <w:pStyle w:val="Justified"/>
        <w:ind w:start="720" w:end="0"/>
        <w:rPr/>
      </w:pPr>
      <w:r>
        <w:rPr>
          <w:b/>
          <w:i/>
        </w:rPr>
        <w:t>"MW"</w:t>
      </w:r>
      <w:r>
        <w:rPr/>
        <w:t xml:space="preserve"> means one megawatt.</w:t>
      </w:r>
    </w:p>
    <w:p>
      <w:pPr>
        <w:pStyle w:val="Justified"/>
        <w:ind w:start="720" w:end="0"/>
        <w:rPr/>
      </w:pPr>
      <w:r>
        <w:rPr>
          <w:b/>
          <w:i/>
        </w:rPr>
        <w:t>"MWh"</w:t>
      </w:r>
      <w:r>
        <w:rPr/>
        <w:t xml:space="preserve"> means one megawatt hour.</w:t>
      </w:r>
    </w:p>
    <w:p>
      <w:pPr>
        <w:pStyle w:val="Justified"/>
        <w:ind w:start="720" w:end="0"/>
        <w:rPr/>
      </w:pPr>
      <w:r>
        <w:rPr/>
        <w:t>"</w:t>
      </w:r>
      <w:r>
        <w:rPr>
          <w:b/>
          <w:i/>
        </w:rPr>
        <w:t>NERC</w:t>
      </w:r>
      <w:r>
        <w:rPr/>
        <w:t>" means North American Electric Reliability Council, and any successor entity.</w:t>
      </w:r>
    </w:p>
    <w:p>
      <w:pPr>
        <w:pStyle w:val="Justified"/>
        <w:ind w:start="720" w:end="0"/>
        <w:rPr/>
      </w:pPr>
      <w:r>
        <w:rPr>
          <w:b/>
          <w:i/>
        </w:rPr>
        <w:t>"Non-Summer Season"</w:t>
      </w:r>
      <w:r>
        <w:rPr/>
        <w:t xml:space="preserve"> means the period each Year from January 1 through June 30 (inclusive) and from September 1 through December 31 (inclusive), excluding NERC holidays.</w:t>
      </w:r>
    </w:p>
    <w:p>
      <w:pPr>
        <w:pStyle w:val="Justified"/>
        <w:ind w:start="720" w:end="0"/>
        <w:rPr/>
      </w:pPr>
      <w:r>
        <w:rPr>
          <w:b/>
          <w:i/>
        </w:rPr>
        <w:t>"Non-Summer Season On-Peak Hours"</w:t>
      </w:r>
      <w:r>
        <w:rPr/>
        <w:t xml:space="preserve"> means HE 0700 Central Prevailing Time to HE 2200 Central Prevailing Time.</w:t>
      </w:r>
    </w:p>
    <w:p>
      <w:pPr>
        <w:pStyle w:val="Justified"/>
        <w:ind w:start="720" w:end="0"/>
        <w:rPr/>
      </w:pPr>
      <w:r>
        <w:rPr>
          <w:b/>
          <w:i/>
        </w:rPr>
        <w:t>"On-Peak Hours"</w:t>
      </w:r>
      <w:r>
        <w:rPr/>
        <w:t xml:space="preserve"> means collectively, during the Summer Season, all Summer Season On-Peak Hours and during the Non-Summer Season, all Non-Summer Season On-Peak Hours.</w:t>
      </w:r>
    </w:p>
    <w:p>
      <w:pPr>
        <w:pStyle w:val="Normal"/>
        <w:suppressAutoHyphens w:val="true"/>
        <w:spacing w:before="120" w:after="120"/>
        <w:ind w:start="720" w:end="0"/>
        <w:rPr/>
      </w:pPr>
      <w:r>
        <w:rPr/>
        <w:t>"</w:t>
      </w:r>
      <w:r>
        <w:rPr>
          <w:b/>
          <w:i/>
        </w:rPr>
        <w:t>Person</w:t>
      </w:r>
      <w:r>
        <w:rPr/>
        <w:t>" means one or more individuals, corporations, partnerships, or other entity possessing legal rights.</w:t>
      </w:r>
    </w:p>
    <w:p>
      <w:pPr>
        <w:pStyle w:val="Normal"/>
        <w:suppressAutoHyphens w:val="true"/>
        <w:spacing w:before="120" w:after="120"/>
        <w:ind w:start="720" w:end="0"/>
        <w:rPr/>
      </w:pPr>
      <w:r>
        <w:rPr>
          <w:b/>
          <w:i/>
        </w:rPr>
        <w:t xml:space="preserve">"S&amp;P" </w:t>
      </w:r>
      <w:r>
        <w:rPr/>
        <w:t>means the Standard &amp; Poor’s Rating Group (a division of McGraw-Hill, Inc.) or its successor.</w:t>
      </w:r>
    </w:p>
    <w:p>
      <w:pPr>
        <w:pStyle w:val="Justified"/>
        <w:ind w:start="720" w:end="0"/>
        <w:rPr/>
      </w:pPr>
      <w:r>
        <w:rPr>
          <w:b/>
          <w:i/>
        </w:rPr>
        <w:t>"Schedule"</w:t>
      </w:r>
      <w:r>
        <w:rPr/>
        <w:t xml:space="preserve"> or </w:t>
      </w:r>
      <w:r>
        <w:rPr>
          <w:b/>
          <w:i/>
        </w:rPr>
        <w:t>"Scheduling"</w:t>
      </w:r>
      <w:r>
        <w:rPr/>
        <w:t xml:space="preserve"> means the acts of Seller, Buyer and/or their designated representatives, including each Party’s Transmission Providers, if applicable, of notifying, requesting and confirming to each other the quantity of Energy to be delivered hourly on any given Day or Days during the Delivery Term at a specified Delivery Point.</w:t>
      </w:r>
    </w:p>
    <w:p>
      <w:pPr>
        <w:pStyle w:val="Normal"/>
        <w:suppressAutoHyphens w:val="true"/>
        <w:spacing w:before="0" w:after="120"/>
        <w:ind w:start="720" w:end="0"/>
        <w:rPr/>
      </w:pPr>
      <w:r>
        <w:rPr>
          <w:i/>
        </w:rPr>
        <w:t>“</w:t>
      </w:r>
      <w:r>
        <w:rPr>
          <w:b/>
          <w:i/>
        </w:rPr>
        <w:t>Specified Indebtedness</w:t>
      </w:r>
      <w:r>
        <w:rPr>
          <w:b/>
        </w:rPr>
        <w:t>"</w:t>
      </w:r>
      <w:r>
        <w:rPr/>
        <w:t xml:space="preserve"> means any obligation (whether present or future, contingent or otherwise, as principal or surety or otherwise) in respect of borrowed money.</w:t>
      </w:r>
    </w:p>
    <w:p>
      <w:pPr>
        <w:pStyle w:val="Justified"/>
        <w:ind w:start="720" w:end="0"/>
        <w:rPr/>
      </w:pPr>
      <w:r>
        <w:rPr>
          <w:b/>
          <w:i/>
        </w:rPr>
        <w:t>"Stranded Costs"</w:t>
      </w:r>
      <w:r>
        <w:rPr/>
        <w:t xml:space="preserve"> means any charges or costs that are assessed or levied by any entity, including local, state or federal regulatory or taxing authorities or any Transmission Providers, in order to recoup the expenses and liabilities associated with investment in, the operation of, or the future costs of owning, maintaining or retiring any facilities used to provide electric service.</w:t>
      </w:r>
    </w:p>
    <w:p>
      <w:pPr>
        <w:pStyle w:val="Justified"/>
        <w:ind w:start="720" w:end="0"/>
        <w:rPr/>
      </w:pPr>
      <w:r>
        <w:rPr>
          <w:b/>
          <w:i/>
        </w:rPr>
        <w:t>"Summer Season"</w:t>
      </w:r>
      <w:r>
        <w:rPr/>
        <w:t xml:space="preserve"> means each Saturday and Sunday throughout the period each Year from July 1 through August 31 (inclusive), excluding NERC holidays.</w:t>
      </w:r>
    </w:p>
    <w:p>
      <w:pPr>
        <w:pStyle w:val="Justified"/>
        <w:ind w:start="720" w:end="0"/>
        <w:rPr/>
      </w:pPr>
      <w:r>
        <w:rPr>
          <w:b/>
          <w:i/>
        </w:rPr>
        <w:t>"Summer Season On-Peak Hours"</w:t>
      </w:r>
      <w:r>
        <w:rPr/>
        <w:t xml:space="preserve"> means HE 0700 Central Prevailing Time to HE 2200 Central Prevailing Time.</w:t>
      </w:r>
    </w:p>
    <w:p>
      <w:pPr>
        <w:pStyle w:val="Justified"/>
        <w:ind w:start="720" w:end="0"/>
        <w:rPr/>
      </w:pPr>
      <w:r>
        <w:rPr/>
        <w:t>"</w:t>
      </w:r>
      <w:r>
        <w:rPr>
          <w:b/>
          <w:i/>
        </w:rPr>
        <w:t>Tax</w:t>
      </w:r>
      <w:r>
        <w:rPr/>
        <w:t>" means any tax, duty, impost, and levy of any nature (whether state, local, or federal) whatsoever and wherever charged, levied or imposed, together with any interest and penalties in relation thereto.</w:t>
      </w:r>
    </w:p>
    <w:p>
      <w:pPr>
        <w:pStyle w:val="Justified"/>
        <w:ind w:start="720" w:end="0"/>
        <w:rPr/>
      </w:pPr>
      <w:r>
        <w:rPr>
          <w:b/>
          <w:i/>
        </w:rPr>
        <w:t>"Transmission Provider"</w:t>
      </w:r>
      <w:r>
        <w:rPr/>
        <w:t xml:space="preserve"> means the entity or entities transmitting Energy on behalf of Seller or Buyer to or from the Delivery Point.</w:t>
      </w:r>
    </w:p>
    <w:p>
      <w:pPr>
        <w:pStyle w:val="Justified"/>
        <w:ind w:start="720" w:end="0"/>
        <w:rPr/>
      </w:pPr>
      <w:r>
        <w:rPr>
          <w:b/>
          <w:i/>
        </w:rPr>
        <w:t>"Transportation Provider"</w:t>
      </w:r>
      <w:r>
        <w:rPr/>
        <w:t xml:space="preserve"> means the entity or entities transporting natural gas on behalf of Seller for use at a given Facility.</w:t>
      </w:r>
    </w:p>
    <w:p>
      <w:pPr>
        <w:pStyle w:val="Justified"/>
        <w:ind w:start="720" w:end="0"/>
        <w:rPr/>
      </w:pPr>
      <w:r>
        <w:rPr>
          <w:b/>
          <w:i/>
        </w:rPr>
        <w:t>"Year"</w:t>
      </w:r>
      <w:r>
        <w:rPr/>
        <w:t xml:space="preserve"> means a calendar year.</w:t>
      </w:r>
    </w:p>
    <w:p>
      <w:pPr>
        <w:pStyle w:val="Justified"/>
        <w:ind w:start="720" w:end="0"/>
        <w:rPr/>
      </w:pPr>
      <w:r>
        <w:rPr>
          <w:b/>
          <w:i/>
        </w:rPr>
        <w:t>"Wheatland Facility"</w:t>
      </w:r>
      <w:r>
        <w:rPr/>
        <w:t xml:space="preserve"> means that certain natural gas-fired electricity generating facility to be designed, constructed, operated, maintained and owned by Seller or one of its Affiliates in Knox County, Indiana.</w:t>
      </w:r>
    </w:p>
    <w:p>
      <w:pPr>
        <w:pStyle w:val="Heading1"/>
        <w:ind w:hanging="0" w:start="0"/>
        <w:rPr/>
      </w:pPr>
      <w:r>
        <w:rPr/>
        <w:t>ARTICLE 2.</w:t>
        <w:br/>
        <w:t>TERM</w:t>
      </w:r>
    </w:p>
    <w:p>
      <w:pPr>
        <w:pStyle w:val="Heading2"/>
        <w:ind w:hanging="720" w:start="720" w:end="0"/>
        <w:rPr/>
      </w:pPr>
      <w:r>
        <w:rPr/>
        <w:t>2.1</w:t>
        <w:tab/>
      </w:r>
      <w:r>
        <w:rPr>
          <w:b/>
          <w:u w:val="single"/>
        </w:rPr>
        <w:t>Contract Term</w:t>
      </w:r>
      <w:r>
        <w:fldChar w:fldCharType="begin"/>
      </w:r>
      <w:r>
        <w:rPr/>
        <w:instrText xml:space="preserve"> TC "2.1</w:instrText>
        <w:tab/>
        <w:instrText xml:space="preserve">Contract Term" \l 2 </w:instrText>
      </w:r>
      <w:r>
        <w:rPr/>
        <w:fldChar w:fldCharType="separate"/>
      </w:r>
      <w:r>
        <w:rPr/>
      </w:r>
      <w:r>
        <w:rPr/>
        <w:fldChar w:fldCharType="end"/>
      </w:r>
      <w:r>
        <w:rPr>
          <w:b/>
        </w:rPr>
        <w:t>.</w:t>
      </w:r>
      <w:r>
        <w:rPr/>
        <w:t xml:space="preserve">  Subject to the provisions of Section 16.6 regarding winding-up arrangements, the Contract Term shall begin on the Effective Date and end on the last Day of the Delivery Term.</w:t>
      </w:r>
    </w:p>
    <w:p>
      <w:pPr>
        <w:pStyle w:val="Heading2"/>
        <w:ind w:hanging="720" w:start="720" w:end="0"/>
        <w:rPr/>
      </w:pPr>
      <w:r>
        <w:rPr/>
        <w:t>2.2</w:t>
        <w:tab/>
      </w:r>
      <w:r>
        <w:rPr>
          <w:b/>
          <w:u w:val="single"/>
        </w:rPr>
        <w:t>Delivery Term</w:t>
      </w:r>
      <w:r>
        <w:fldChar w:fldCharType="begin"/>
      </w:r>
      <w:r>
        <w:rPr/>
        <w:instrText xml:space="preserve"> TC "2.2</w:instrText>
        <w:tab/>
        <w:instrText xml:space="preserve">Delivery Term" \l 2 </w:instrText>
      </w:r>
      <w:r>
        <w:rPr/>
        <w:fldChar w:fldCharType="separate"/>
      </w:r>
      <w:r>
        <w:rPr/>
      </w:r>
      <w:r>
        <w:rPr/>
        <w:fldChar w:fldCharType="end"/>
      </w:r>
      <w:r>
        <w:rPr/>
        <w:t>.  The purchase and sale of Energy shall commence on September 1, 2000 and shall end on June 30, 2004.</w:t>
      </w:r>
    </w:p>
    <w:p>
      <w:pPr>
        <w:pStyle w:val="Heading1"/>
        <w:ind w:firstLine="108" w:start="180" w:end="0"/>
        <w:rPr/>
      </w:pPr>
      <w:r>
        <w:rPr/>
        <w:t>ARTICLE 3.</w:t>
        <w:br/>
        <w:t>QUANTITY</w:t>
      </w:r>
    </w:p>
    <w:p>
      <w:pPr>
        <w:pStyle w:val="Heading2"/>
        <w:ind w:hanging="720" w:start="720" w:end="0"/>
        <w:rPr/>
      </w:pPr>
      <w:r>
        <w:rPr/>
        <w:t>3.1</w:t>
        <w:tab/>
      </w:r>
      <w:r>
        <w:rPr>
          <w:b/>
          <w:u w:val="single"/>
        </w:rPr>
        <w:t>Contract Quantity</w:t>
      </w:r>
      <w:r>
        <w:fldChar w:fldCharType="begin"/>
      </w:r>
      <w:r>
        <w:rPr/>
        <w:instrText xml:space="preserve"> TC "3.1</w:instrText>
        <w:tab/>
        <w:instrText xml:space="preserve">Contract Quantity" \l 2 </w:instrText>
      </w:r>
      <w:r>
        <w:rPr/>
        <w:fldChar w:fldCharType="separate"/>
      </w:r>
      <w:r>
        <w:rPr/>
      </w:r>
      <w:r>
        <w:rPr/>
        <w:fldChar w:fldCharType="end"/>
      </w:r>
      <w:r>
        <w:rPr>
          <w:b/>
        </w:rPr>
        <w:t>.</w:t>
      </w:r>
      <w:r>
        <w:rPr/>
        <w:t xml:space="preserve">   Subject to the other provisions herein, during the On-Peak Hours of each Summer Season and Non-Summer Season (or portion thereof) of the Delivery Term, Seller shall sell and deliver, and Buyer shall purchase and receive, or cause to be received, an amount of Energy up to an hourly cap for each Delivery Point as set forth below, for each hour Scheduled by Buyer and delivered by Seller (the “Contract Quantity”):</w:t>
      </w:r>
    </w:p>
    <w:p>
      <w:pPr>
        <w:pStyle w:val="Heading2"/>
        <w:tabs>
          <w:tab w:val="clear" w:pos="720"/>
          <w:tab w:val="left" w:pos="5040" w:leader="none"/>
        </w:tabs>
        <w:ind w:hanging="0" w:start="2160" w:end="0"/>
        <w:rPr/>
      </w:pPr>
      <w:r>
        <w:rPr/>
        <w:t>Gleason Delivery Point</w:t>
        <w:tab/>
        <w:t>500 MW</w:t>
      </w:r>
    </w:p>
    <w:p>
      <w:pPr>
        <w:pStyle w:val="Heading2"/>
        <w:tabs>
          <w:tab w:val="clear" w:pos="720"/>
          <w:tab w:val="left" w:pos="5040" w:leader="none"/>
        </w:tabs>
        <w:ind w:hanging="0" w:start="2160" w:end="0"/>
        <w:rPr/>
      </w:pPr>
      <w:r>
        <w:rPr/>
        <w:t>Lincoln Delivery Point</w:t>
        <w:tab/>
        <w:t>600 MW</w:t>
      </w:r>
    </w:p>
    <w:p>
      <w:pPr>
        <w:pStyle w:val="Heading2"/>
        <w:tabs>
          <w:tab w:val="clear" w:pos="720"/>
          <w:tab w:val="left" w:pos="5040" w:leader="none"/>
        </w:tabs>
        <w:spacing w:before="0" w:after="0"/>
        <w:ind w:hanging="0" w:start="2160" w:end="0"/>
        <w:rPr/>
      </w:pPr>
      <w:r>
        <w:rPr/>
        <w:t>Wheatland Delivery Point</w:t>
        <w:tab/>
        <w:t>450 MW</w:t>
      </w:r>
    </w:p>
    <w:p>
      <w:pPr>
        <w:pStyle w:val="Heading2"/>
        <w:ind w:hanging="720" w:start="720" w:end="0"/>
        <w:rPr/>
      </w:pPr>
      <w:r>
        <w:rPr/>
      </w:r>
    </w:p>
    <w:p>
      <w:pPr>
        <w:pStyle w:val="Heading2"/>
        <w:ind w:hanging="720" w:start="720" w:end="0"/>
        <w:rPr/>
      </w:pPr>
      <w:r>
        <w:rPr/>
        <w:t>3.2</w:t>
        <w:tab/>
      </w:r>
      <w:r>
        <w:rPr>
          <w:b/>
          <w:u w:val="single"/>
        </w:rPr>
        <w:t>Deliveries</w:t>
      </w:r>
      <w:r>
        <w:fldChar w:fldCharType="begin"/>
      </w:r>
      <w:r>
        <w:rPr/>
        <w:instrText xml:space="preserve"> TC "3.2</w:instrText>
        <w:tab/>
        <w:instrText xml:space="preserve"/>
        <w:tab/>
        <w:instrText xml:space="preserve">Deliveries" \l 2 </w:instrText>
      </w:r>
      <w:r>
        <w:rPr/>
        <w:fldChar w:fldCharType="separate"/>
      </w:r>
      <w:r>
        <w:rPr/>
      </w:r>
      <w:r>
        <w:rPr/>
        <w:fldChar w:fldCharType="end"/>
      </w:r>
      <w:r>
        <w:rPr/>
        <w:t>.  All deliveries and receipts of Energy under this Agreement shall be made at the Delivery Points.</w:t>
      </w:r>
    </w:p>
    <w:p>
      <w:pPr>
        <w:pStyle w:val="Heading1"/>
        <w:ind w:hanging="0" w:start="0"/>
        <w:rPr/>
      </w:pPr>
      <w:r>
        <w:rPr/>
        <w:t>ARTICLE 4.</w:t>
        <w:br/>
        <w:t>CONTRACT PRICE</w:t>
      </w:r>
    </w:p>
    <w:p>
      <w:pPr>
        <w:pStyle w:val="Heading2"/>
        <w:ind w:hanging="720" w:start="720" w:end="0"/>
        <w:rPr/>
      </w:pPr>
      <w:r>
        <w:rPr/>
        <w:t>4.1</w:t>
        <w:tab/>
      </w:r>
      <w:r>
        <w:rPr>
          <w:b/>
          <w:u w:val="single"/>
        </w:rPr>
        <w:t>Contract Price</w:t>
      </w:r>
      <w:r>
        <w:fldChar w:fldCharType="begin"/>
      </w:r>
      <w:r>
        <w:rPr/>
        <w:instrText xml:space="preserve"> TC "4.1</w:instrText>
        <w:tab/>
        <w:instrText xml:space="preserve">Contract Price" \l 2 </w:instrText>
      </w:r>
      <w:r>
        <w:rPr/>
        <w:fldChar w:fldCharType="separate"/>
      </w:r>
      <w:r>
        <w:rPr/>
      </w:r>
      <w:r>
        <w:rPr/>
        <w:fldChar w:fldCharType="end"/>
      </w:r>
      <w:r>
        <w:rPr/>
        <w:t>.  The Contract Price to be paid by Buyer to Seller each Month during the Delivery Term shall consist of the Demand Charge and the Energy Charge, as set forth in this Article 4.</w:t>
      </w:r>
    </w:p>
    <w:p>
      <w:pPr>
        <w:pStyle w:val="Heading2"/>
        <w:ind w:hanging="720" w:start="720" w:end="0"/>
        <w:rPr/>
      </w:pPr>
      <w:r>
        <w:rPr/>
        <w:t>4.2</w:t>
        <w:tab/>
      </w:r>
      <w:r>
        <w:rPr>
          <w:b/>
          <w:u w:val="single"/>
        </w:rPr>
        <w:t>Demand Charge</w:t>
      </w:r>
      <w:r>
        <w:fldChar w:fldCharType="begin"/>
      </w:r>
      <w:r>
        <w:rPr/>
        <w:instrText xml:space="preserve"> TC "4.2</w:instrText>
        <w:tab/>
        <w:instrText xml:space="preserve">Demand Charge" \l 2 </w:instrText>
      </w:r>
      <w:r>
        <w:rPr/>
        <w:fldChar w:fldCharType="separate"/>
      </w:r>
      <w:r>
        <w:rPr/>
      </w:r>
      <w:r>
        <w:rPr/>
        <w:fldChar w:fldCharType="end"/>
      </w:r>
      <w:r>
        <w:rPr/>
        <w:t xml:space="preserve">.  In consideration for the right of Buyer to purchase Energy at the Energy Charge and on the other terms and conditions set forth herein, Buyer shall pay Monthly to Seller for each calendar Month in the applicable Year throughout the Delivery Term, a Demand Charge equal to </w:t>
      </w:r>
      <w:r>
        <w:rPr>
          <w:b/>
        </w:rPr>
        <w:t>[$___________________________________].</w:t>
      </w:r>
    </w:p>
    <w:p>
      <w:pPr>
        <w:pStyle w:val="Heading2"/>
        <w:ind w:hanging="720" w:start="720" w:end="0"/>
        <w:rPr/>
      </w:pPr>
      <w:r>
        <w:rPr/>
        <w:t>4.3</w:t>
        <w:tab/>
      </w:r>
      <w:r>
        <w:rPr>
          <w:b/>
          <w:u w:val="single"/>
        </w:rPr>
        <w:t>Energy Charge</w:t>
      </w:r>
      <w:r>
        <w:fldChar w:fldCharType="begin"/>
      </w:r>
      <w:r>
        <w:rPr/>
        <w:instrText xml:space="preserve"> TC "4.3</w:instrText>
        <w:tab/>
        <w:instrText xml:space="preserve">Energy Charge" \l 2 </w:instrText>
      </w:r>
      <w:r>
        <w:rPr/>
        <w:fldChar w:fldCharType="separate"/>
      </w:r>
      <w:r>
        <w:rPr/>
      </w:r>
      <w:r>
        <w:rPr/>
        <w:fldChar w:fldCharType="end"/>
      </w:r>
      <w:r>
        <w:rPr/>
        <w:t xml:space="preserve">.  In addition to the Demand Charge and all other amounts due to Seller under this Agreement, Buyer shall pay to Seller each Month during the Delivery Term an Energy Charge equal to the sum of the Daily Energy Charges for each of the Delivery Points for each Day of the applicable Month which shall be calculated as set forth on </w:t>
      </w:r>
      <w:r>
        <w:rPr>
          <w:u w:val="single"/>
        </w:rPr>
        <w:t>Exhibit A</w:t>
      </w:r>
      <w:r>
        <w:rPr/>
        <w:t xml:space="preserve">.  The Energy Charge shall be payable in arrears, regardless of any event of Force Majeure, pursuant to Article 10. </w:t>
      </w:r>
    </w:p>
    <w:p>
      <w:pPr>
        <w:pStyle w:val="Heading2"/>
        <w:numPr>
          <w:ilvl w:val="1"/>
          <w:numId w:val="2"/>
        </w:numPr>
        <w:rPr/>
      </w:pPr>
      <w:r>
        <w:rPr>
          <w:b/>
          <w:u w:val="single"/>
        </w:rPr>
        <w:t>Buyer's Cover Remedy for Seller's Failure to Deliver</w:t>
      </w:r>
      <w:r>
        <w:rPr/>
        <w:t>.  Unless excused by Force Majeure or Buyer's failure to perform, if Seller fails to schedule and/or deliver all or part of the Scheduled Contract Quantity of Energy at each Delivery Point, Seller shall pay Buyer an amount for each unit of Energy in such deficiency equal to the positive difference, if any, obtained by subtracting the Energy Charge from the Replacement Price.  "Replacement Price" shall be calculated as follows:</w:t>
      </w:r>
    </w:p>
    <w:p>
      <w:pPr>
        <w:pStyle w:val="Normal"/>
        <w:jc w:val="start"/>
        <w:rPr/>
      </w:pPr>
      <w:r>
        <w:rPr/>
        <w:tab/>
      </w:r>
      <w:r>
        <w:rPr>
          <w:b/>
          <w:u w:val="single"/>
        </w:rPr>
        <w:t>Monday through Friday:</w:t>
      </w:r>
    </w:p>
    <w:p>
      <w:pPr>
        <w:pStyle w:val="Normal"/>
        <w:jc w:val="start"/>
        <w:rPr/>
      </w:pPr>
      <w:r>
        <w:rPr/>
        <w:tab/>
        <w:t>Gleason Delivery Point</w:t>
        <w:tab/>
        <w:tab/>
        <w:t>= [Into TVA]</w:t>
      </w:r>
    </w:p>
    <w:p>
      <w:pPr>
        <w:pStyle w:val="Normal"/>
        <w:jc w:val="start"/>
        <w:rPr/>
      </w:pPr>
      <w:r>
        <w:rPr/>
        <w:tab/>
        <w:t xml:space="preserve">Lincoln Delivery Point </w:t>
        <w:tab/>
        <w:tab/>
        <w:t>= [Into COMED]</w:t>
      </w:r>
    </w:p>
    <w:p>
      <w:pPr>
        <w:pStyle w:val="Normal"/>
        <w:jc w:val="start"/>
        <w:rPr/>
      </w:pPr>
      <w:r>
        <w:rPr/>
        <w:tab/>
        <w:t>Wheatland Delivery Point</w:t>
        <w:tab/>
        <w:t>= [Into Cinergy]</w:t>
      </w:r>
    </w:p>
    <w:p>
      <w:pPr>
        <w:pStyle w:val="para"/>
        <w:rPr/>
      </w:pPr>
      <w:r>
        <w:rPr/>
      </w:r>
    </w:p>
    <w:p>
      <w:pPr>
        <w:pStyle w:val="Normal"/>
        <w:jc w:val="start"/>
        <w:rPr/>
      </w:pPr>
      <w:r>
        <w:rPr/>
        <w:tab/>
      </w:r>
      <w:r>
        <w:rPr>
          <w:b/>
          <w:u w:val="single"/>
        </w:rPr>
        <w:t>Saturday, Sunday and other Days on which an index price specified above is not published:</w:t>
      </w:r>
    </w:p>
    <w:p>
      <w:pPr>
        <w:pStyle w:val="Heading2"/>
        <w:ind w:hanging="0" w:start="720" w:end="0"/>
        <w:rPr/>
      </w:pPr>
      <w:r>
        <w:rPr/>
        <w:t>The Non-Defaulting Party shall make a reasonable determination of the “Replacement Price” and in doing so may consider, among other things[, any or all of the settlement prices of quotations from leading dealers in Energy contracts and other bona fide third party offers, all adjusted for differences in transmission.[</w:t>
      </w:r>
    </w:p>
    <w:p>
      <w:pPr>
        <w:pStyle w:val="Heading2"/>
        <w:ind w:hanging="0" w:start="720" w:end="0"/>
        <w:rPr/>
      </w:pPr>
      <w:r>
        <w:rPr/>
        <w:t>Amounts payable pursuant to this Section 4.4 shall be payable on or before three (3) Business Days after receipt of an invoice from Buyer.</w:t>
      </w:r>
    </w:p>
    <w:p>
      <w:pPr>
        <w:pStyle w:val="Heading2"/>
        <w:ind w:hanging="720" w:start="720" w:end="0"/>
        <w:rPr/>
      </w:pPr>
      <w:r>
        <w:rPr/>
        <w:t>4.5</w:t>
        <w:tab/>
      </w:r>
      <w:r>
        <w:rPr>
          <w:b/>
          <w:u w:val="single"/>
        </w:rPr>
        <w:t>Seller's Cover Remedy for Buyer's Failure to Receive</w:t>
      </w:r>
      <w:r>
        <w:rPr/>
        <w:t>.  Unless excused by Force Majeure or Seller's failure to perform, if Buyer fails to schedule and/or receive any amounts of Scheduled Contract Quantity of Energy at each Delivery Point, Buyer shall pay Seller an amount for each unit of Energy in such deficiency equal to [the sum of (1)] the positive difference, if any, obtained by subtracting the Replacement Price from the Energy Charge[, and (2) additional costs reasonably incurred by Seller in reselling such Energy not received by Buyer, including additional transmission charges, if any].  Amounts payable pursuant to this Section 4.5 shall be payable on or before three (3) Business Days after receipt of an invoice from Seller.</w:t>
      </w:r>
    </w:p>
    <w:p>
      <w:pPr>
        <w:pStyle w:val="Heading2"/>
        <w:ind w:hanging="720" w:start="720" w:end="0"/>
        <w:rPr/>
      </w:pPr>
      <w:r>
        <w:rPr/>
        <w:t>4.6</w:t>
        <w:tab/>
      </w:r>
      <w:r>
        <w:rPr>
          <w:b/>
          <w:u w:val="single"/>
        </w:rPr>
        <w:t>Acknowledgment of Parties</w:t>
      </w:r>
      <w:r>
        <w:fldChar w:fldCharType="begin"/>
      </w:r>
      <w:r>
        <w:rPr/>
        <w:instrText xml:space="preserve"> TC "4.8</w:instrText>
        <w:tab/>
        <w:instrText xml:space="preserve">Acknowledgment of Parties" \l 2 </w:instrText>
      </w:r>
      <w:r>
        <w:rPr/>
        <w:fldChar w:fldCharType="separate"/>
      </w:r>
      <w:r>
        <w:rPr/>
      </w:r>
      <w:r>
        <w:rPr/>
        <w:fldChar w:fldCharType="end"/>
      </w:r>
      <w:r>
        <w:rPr/>
        <w:t>.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(a) suspend performance until such amounts plus interest at the Interest Rate have been paid, and/or (b) exercise any remedy available at law or in equity to enforce payment of such amount plus interest at the Interest Rate.  The remedy set forth in this Article 4 shall be the sole and exclusive remedy of the aggrieved Party for the failure of (i) Seller to deliver the Scheduled Contract Quantity or, (ii) Buyer to purchase and receive the Scheduled Contract Quantity, and all other damages and remedies are hereby waived.  Disagreements with respect to the calculation of damages pursuant to this Article 4 shall be submitted to arbitration in accordance with the dispute resolution procedures set forth in Section 16.9.</w:t>
      </w:r>
    </w:p>
    <w:p>
      <w:pPr>
        <w:pStyle w:val="Heading1"/>
        <w:ind w:hanging="0" w:start="0"/>
        <w:rPr/>
      </w:pPr>
      <w:r>
        <w:rPr/>
        <w:t>ARTICLE 5.</w:t>
        <w:br/>
        <w:t>OPERATING PROVISIONS</w:t>
      </w:r>
    </w:p>
    <w:p>
      <w:pPr>
        <w:pStyle w:val="Heading2"/>
        <w:ind w:hanging="720" w:start="720" w:end="0"/>
        <w:rPr/>
      </w:pPr>
      <w:r>
        <w:rPr/>
        <w:t>5.1</w:t>
        <w:tab/>
      </w:r>
      <w:r>
        <w:rPr>
          <w:b/>
          <w:u w:val="single"/>
        </w:rPr>
        <w:t>Transmission</w:t>
      </w:r>
      <w:r>
        <w:fldChar w:fldCharType="begin"/>
      </w:r>
      <w:r>
        <w:rPr/>
        <w:instrText xml:space="preserve"> TC "5.2</w:instrText>
        <w:tab/>
        <w:instrText xml:space="preserve">Transmission" \l 2 </w:instrText>
      </w:r>
      <w:r>
        <w:rPr/>
        <w:fldChar w:fldCharType="separate"/>
      </w:r>
      <w:r>
        <w:rPr/>
      </w:r>
      <w:r>
        <w:rPr/>
        <w:fldChar w:fldCharType="end"/>
      </w:r>
      <w:r>
        <w:rPr/>
        <w:t>.  Seller shall arrange and be responsible for transmission service to the Delivery Points and shall Schedule or arrange for Scheduling services with its Transmission Providers to deliver the Scheduled Energy to the Delivery Points.  Buyer shall arrange and be responsible for transmission service at and from the Delivery Points and shall Schedule or arrange for Scheduling services with its Transmission Providers to receive the Scheduled Energy at the Delivery Points.  Each Party shall designate authorized representatives to effect the Scheduling of the Contract Quantity.</w:t>
      </w:r>
    </w:p>
    <w:p>
      <w:pPr>
        <w:pStyle w:val="Heading2"/>
        <w:ind w:hanging="720" w:start="720" w:end="0"/>
        <w:rPr/>
      </w:pPr>
      <w:r>
        <w:rPr/>
        <w:t>5.2</w:t>
        <w:tab/>
      </w:r>
      <w:r>
        <w:rPr>
          <w:b/>
          <w:u w:val="single"/>
        </w:rPr>
        <w:t>Scheduling</w:t>
      </w:r>
      <w:r>
        <w:fldChar w:fldCharType="begin"/>
      </w:r>
      <w:r>
        <w:rPr/>
        <w:instrText xml:space="preserve"> TC "5.3</w:instrText>
        <w:tab/>
        <w:instrText xml:space="preserve">Scheduling" \l 2 </w:instrText>
      </w:r>
      <w:r>
        <w:rPr/>
        <w:fldChar w:fldCharType="separate"/>
      </w:r>
      <w:r>
        <w:rPr/>
      </w:r>
      <w:r>
        <w:rPr/>
        <w:fldChar w:fldCharType="end"/>
      </w:r>
      <w:r>
        <w:rPr/>
        <w:t>.  If Buyer desires to Schedule Energy hereunder, Buyer shall do so in accordance with the following provisions:</w:t>
      </w:r>
    </w:p>
    <w:p>
      <w:pPr>
        <w:pStyle w:val="Heading2"/>
        <w:numPr>
          <w:ilvl w:val="0"/>
          <w:numId w:val="5"/>
        </w:numPr>
        <w:tabs>
          <w:tab w:val="clear" w:pos="720"/>
        </w:tabs>
        <w:ind w:hanging="630" w:start="1350" w:end="0"/>
        <w:rPr/>
      </w:pPr>
      <w:r>
        <w:rPr/>
        <w:t>On or before 9:00 a.m. Central Prevailing Time (i) each Business Day during the Non-Summer Season, Buyer shall provide Seller with a schedule of the Energy to be purchased by Buyer from Seller hereunder during each Non-Summer Season On-Peak Hour of the following Day (or if the following Day is a Saturday, then for each Non-Summer Season On-Peak Hour of such Saturday and the following Sunday and Monday), and (ii) each Business Day which immediately precedes each Saturday during each Summer Season, Buyer shall provide Seller with a schedule of the Energy to be purchased by Buyer from Seller hereunder for the following Saturday and Sunday.  Buyer shall be obligated to Schedule whole blocks equal to fifty (50) MW and any scheduled amount must remain the same for all On-Peak Hours (By way of example only, if Buyer wants to Schedule 250 MW’s in a given hour, Buyer must Schedule 250 MW’s for all sixteen On-Peak Hours); and</w:t>
      </w:r>
    </w:p>
    <w:p>
      <w:pPr>
        <w:pStyle w:val="Heading2"/>
        <w:numPr>
          <w:ilvl w:val="0"/>
          <w:numId w:val="5"/>
        </w:numPr>
        <w:tabs>
          <w:tab w:val="clear" w:pos="720"/>
        </w:tabs>
        <w:ind w:hanging="630" w:start="1350" w:end="0"/>
        <w:rPr/>
      </w:pPr>
      <w:r>
        <w:rPr/>
        <w:t>Within 2 hours of Seller’s receipt of Buyer’s schedule pursuant to Subsection (a) above, Seller shall provide to Buyer a confirmation indicating the quantity of Energy that it will provide to each of the Delivery Points and all other logistics regarding delivery of Energy shall be finalized.</w:t>
      </w:r>
    </w:p>
    <w:p>
      <w:pPr>
        <w:pStyle w:val="Heading2"/>
        <w:ind w:hanging="720" w:start="720" w:end="0"/>
        <w:rPr/>
      </w:pPr>
      <w:r>
        <w:rPr/>
        <w:t>5.3</w:t>
        <w:tab/>
      </w:r>
      <w:r>
        <w:rPr>
          <w:b/>
          <w:u w:val="single"/>
        </w:rPr>
        <w:t>Gas/Supply/Transportation</w:t>
      </w:r>
      <w:r>
        <w:fldChar w:fldCharType="begin"/>
      </w:r>
      <w:r>
        <w:rPr/>
        <w:instrText xml:space="preserve"> TC "5.5</w:instrText>
        <w:tab/>
        <w:instrText xml:space="preserve">Gas Transportation" \l 2 </w:instrText>
      </w:r>
      <w:r>
        <w:rPr/>
        <w:fldChar w:fldCharType="separate"/>
      </w:r>
      <w:r>
        <w:rPr/>
      </w:r>
      <w:r>
        <w:rPr/>
        <w:fldChar w:fldCharType="end"/>
      </w:r>
      <w:r>
        <w:rPr>
          <w:b/>
        </w:rPr>
        <w:t>.</w:t>
      </w:r>
      <w:r>
        <w:rPr/>
        <w:t xml:space="preserve">  Seller shall provide for the supply of natural gas to each Facility (at the inlet of each Facility).  Seller shall be responsible for all transportation costs imposed by the Transportation Provider, including without limitation, any demand charges.  The curtailment of firm gas supply or transportation by a gas provider or Transportation Provider shall constitute a Force Majeure event thereby excusing Seller’s obligation to supply Energy.</w:t>
      </w:r>
    </w:p>
    <w:p>
      <w:pPr>
        <w:pStyle w:val="Heading1"/>
        <w:keepNext w:val="false"/>
        <w:ind w:hanging="0" w:start="0"/>
        <w:rPr/>
      </w:pPr>
      <w:r>
        <w:rPr/>
        <w:t>ARTICLE 6.</w:t>
        <w:br/>
        <w:t>delivery POINTS; OBLIGATIONS OF THE PARTIES; TITLE</w:t>
      </w:r>
    </w:p>
    <w:p>
      <w:pPr>
        <w:pStyle w:val="Heading2"/>
        <w:ind w:hanging="720" w:start="720" w:end="0"/>
        <w:rPr/>
      </w:pPr>
      <w:r>
        <w:rPr/>
        <w:t>6.1</w:t>
        <w:tab/>
      </w:r>
      <w:r>
        <w:rPr>
          <w:b/>
          <w:u w:val="single"/>
        </w:rPr>
        <w:t>Delivery Points</w:t>
      </w:r>
      <w:r>
        <w:fldChar w:fldCharType="begin"/>
      </w:r>
      <w:r>
        <w:rPr/>
        <w:instrText xml:space="preserve"> TC "6.1</w:instrText>
        <w:tab/>
        <w:instrText xml:space="preserve">Delivery Points" \l 2 </w:instrText>
      </w:r>
      <w:r>
        <w:rPr/>
        <w:fldChar w:fldCharType="separate"/>
      </w:r>
      <w:r>
        <w:rPr/>
      </w:r>
      <w:r>
        <w:rPr/>
        <w:fldChar w:fldCharType="end"/>
      </w:r>
      <w:r>
        <w:rPr/>
        <w:t>. The Delivery Points shall be any or all of the following delivery points ("Delivery Points") for each of the corresponding Facilities or any other mutually agreeable points of interconnection:</w:t>
      </w:r>
    </w:p>
    <w:p>
      <w:pPr>
        <w:pStyle w:val="Heading2"/>
        <w:tabs>
          <w:tab w:val="clear" w:pos="720"/>
          <w:tab w:val="left" w:pos="3600" w:leader="none"/>
          <w:tab w:val="left" w:pos="5040" w:leader="none"/>
        </w:tabs>
        <w:ind w:hanging="3600" w:start="5040" w:end="0"/>
        <w:rPr/>
      </w:pPr>
      <w:r>
        <w:rPr/>
        <w:t>Gleason Delivery Point</w:t>
        <w:tab/>
        <w:t>-</w:t>
        <w:tab/>
        <w:t>The proposed Gleason Control Area including the Gleason Substation on TVA’s Johnsonville-Weakley 500 Kv transmission system.</w:t>
      </w:r>
    </w:p>
    <w:p>
      <w:pPr>
        <w:pStyle w:val="Heading2"/>
        <w:tabs>
          <w:tab w:val="clear" w:pos="720"/>
          <w:tab w:val="left" w:pos="3600" w:leader="none"/>
          <w:tab w:val="left" w:pos="5040" w:leader="none"/>
        </w:tabs>
        <w:ind w:hanging="3600" w:start="5040" w:end="0"/>
        <w:rPr/>
      </w:pPr>
      <w:r>
        <w:rPr/>
        <w:t>Lincoln Delivery Point</w:t>
        <w:tab/>
        <w:t>-</w:t>
        <w:tab/>
        <w:t>The proposed Lincoln Center Control Area including the Wilton Center Substation on ComEd's 345 Kv transmission system</w:t>
      </w:r>
    </w:p>
    <w:p>
      <w:pPr>
        <w:pStyle w:val="Heading2"/>
        <w:tabs>
          <w:tab w:val="clear" w:pos="720"/>
          <w:tab w:val="left" w:pos="3600" w:leader="none"/>
          <w:tab w:val="left" w:pos="5040" w:leader="none"/>
        </w:tabs>
        <w:ind w:hanging="3600" w:start="5040" w:end="0"/>
        <w:rPr/>
      </w:pPr>
      <w:r>
        <w:rPr/>
        <w:t xml:space="preserve">Wheatland Delivery Point - </w:t>
        <w:tab/>
        <w:t>The proposed Wheatland Control Area including the Breed Line Substation on Cinergy's 345 Kv transmission system</w:t>
      </w:r>
    </w:p>
    <w:p>
      <w:pPr>
        <w:pStyle w:val="Heading2"/>
        <w:ind w:hanging="0" w:start="720" w:end="0"/>
        <w:rPr/>
      </w:pPr>
      <w:r>
        <w:rPr/>
        <w:t xml:space="preserve"> </w:t>
      </w:r>
      <w:r>
        <w:rPr/>
        <w:t xml:space="preserve">In the event that one of the foregoing “Control Areas” are not established, Seller shall select (in its reasonable discretion) another delivery point which is reasonably proximate to where the Parties anticipated the “Control Area” would be.  Seller shall sell and deliver, or cause to be delivered, and Buyer shall purchase and receive, or cause to be received, Energy at the Delivery Points. </w:t>
      </w:r>
    </w:p>
    <w:p>
      <w:pPr>
        <w:pStyle w:val="Heading2"/>
        <w:ind w:hanging="720" w:start="720" w:end="0"/>
        <w:rPr/>
      </w:pPr>
      <w:r>
        <w:rPr/>
        <w:t>6.2</w:t>
        <w:tab/>
      </w:r>
      <w:r>
        <w:rPr>
          <w:b/>
          <w:u w:val="single"/>
        </w:rPr>
        <w:t>Further Obligations of the Parties</w:t>
      </w:r>
      <w:r>
        <w:fldChar w:fldCharType="begin"/>
      </w:r>
      <w:r>
        <w:rPr/>
        <w:instrText xml:space="preserve"> TC "6.2</w:instrText>
        <w:tab/>
        <w:instrText xml:space="preserve">Further Obligations of the Parties" \l 2 </w:instrText>
      </w:r>
      <w:r>
        <w:rPr/>
        <w:fldChar w:fldCharType="separate"/>
      </w:r>
      <w:r>
        <w:rPr/>
      </w:r>
      <w:r>
        <w:rPr/>
        <w:fldChar w:fldCharType="end"/>
      </w:r>
      <w:r>
        <w:rPr/>
        <w:t xml:space="preserve">.  Seller shall be responsible for any costs or charges imposed on or associated with the delivery of Energy hereunder, including control area services, ancillary services, inadvertent Energy flows, interconnection fees, transmission losses and, loss charges relating to the transmission of Energy prior to the Delivery Points.  Buyer shall be responsible for any costs or charges imposed on or associated with Energy hereunder, including control area services, ancillary services, inadvertent Energy flows, interconnection fees, transmission losses and loss charges relating to [(i) ]the transmission of Energy at and from the Delivery Points[, and (ii) imposed on the delivery of Energy from a given Facility at the [________] but related to the operation of third-party transmission systems]. </w:t>
      </w:r>
    </w:p>
    <w:p>
      <w:pPr>
        <w:pStyle w:val="Heading2"/>
        <w:ind w:hanging="720" w:start="720" w:end="0"/>
        <w:rPr/>
      </w:pPr>
      <w:r>
        <w:rPr/>
        <w:t>6.3</w:t>
        <w:tab/>
      </w:r>
      <w:r>
        <w:rPr>
          <w:b/>
          <w:u w:val="single"/>
        </w:rPr>
        <w:t>Title; Risk of Loss; and Indemnity</w:t>
      </w:r>
      <w:r>
        <w:fldChar w:fldCharType="begin"/>
      </w:r>
      <w:r>
        <w:rPr/>
        <w:instrText xml:space="preserve"> TC "6.4</w:instrText>
        <w:tab/>
        <w:instrText xml:space="preserve">Title; Risk of Loss; and Indemnity" \l 2 </w:instrText>
      </w:r>
      <w:r>
        <w:rPr/>
        <w:fldChar w:fldCharType="separate"/>
      </w:r>
      <w:r>
        <w:rPr/>
      </w:r>
      <w:r>
        <w:rPr/>
        <w:fldChar w:fldCharType="end"/>
      </w:r>
      <w:r>
        <w:rPr/>
        <w:t>.  As between the Parties, Seller shall be deemed to be in exclusive control (and responsible for any damages or injury caused thereby) of the Energy prior to the Delivery Points and Buyer shall be deemed to be in exclusive control (and responsible for any damages or injury caused thereby) of the Energy at and from the Delivery Points.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w:t>
      </w:r>
    </w:p>
    <w:p>
      <w:pPr>
        <w:pStyle w:val="Heading1"/>
        <w:ind w:hanging="0" w:start="0"/>
        <w:rPr/>
      </w:pPr>
      <w:r>
        <w:rPr/>
        <w:t>ARTICLE 7.</w:t>
        <w:br/>
        <w:t>representations AND WARRANTIES</w:t>
      </w:r>
    </w:p>
    <w:p>
      <w:pPr>
        <w:pStyle w:val="Heading2"/>
        <w:ind w:hanging="720" w:start="720" w:end="0"/>
        <w:rPr/>
      </w:pPr>
      <w:r>
        <w:rPr/>
        <w:t>7.1</w:t>
        <w:tab/>
      </w:r>
      <w:r>
        <w:rPr>
          <w:b/>
          <w:u w:val="single"/>
        </w:rPr>
        <w:t>Representations and Warranties</w:t>
      </w:r>
      <w:r>
        <w:rPr/>
        <w:t>.  As a material inducement to entering into this Agreement, each Party, with respect to itself, hereby represents and warrants to the other Party as of the Effective Date as follows:</w:t>
      </w:r>
    </w:p>
    <w:p>
      <w:pPr>
        <w:pStyle w:val="Heading2"/>
        <w:ind w:hanging="720" w:start="1440" w:end="0"/>
        <w:rPr/>
      </w:pPr>
      <w:r>
        <w:rPr/>
        <w:t>(a)</w:t>
        <w:tab/>
        <w:t>it is duly organized, validly existing and in good standing under the laws of the jurisdiction of its formation and is qualified to conduct its business in those jurisdictions necessary to perform this Agreement;</w:t>
      </w:r>
    </w:p>
    <w:p>
      <w:pPr>
        <w:pStyle w:val="Heading2"/>
        <w:ind w:hanging="720" w:start="1440" w:end="0"/>
        <w:rPr/>
      </w:pPr>
      <w:r>
        <w:rPr/>
        <w:t>(b)</w:t>
        <w:tab/>
        <w:t>it has, or will have, all regulatory authorizations, consents and approvals and has submitted all regulatory filings necessary for it to legally perform its obligations under this Agreement;</w:t>
      </w:r>
    </w:p>
    <w:p>
      <w:pPr>
        <w:pStyle w:val="Heading2"/>
        <w:ind w:hanging="720" w:start="1440" w:end="0"/>
        <w:rPr/>
      </w:pPr>
      <w:r>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ind w:hanging="720" w:start="1440" w:end="0"/>
        <w:rPr/>
      </w:pPr>
      <w:r>
        <w:rPr/>
        <w:t>(d)</w:t>
        <w:tab/>
        <w:t>this Agreement constitutes a legal, valid and binding obligation of such Party enforceable against it in accordance with its terms, subject to any Equitable Defenses;</w:t>
      </w:r>
    </w:p>
    <w:p>
      <w:pPr>
        <w:pStyle w:val="Heading2"/>
        <w:ind w:hanging="720" w:start="1440" w:end="0"/>
        <w:rPr/>
      </w:pPr>
      <w:r>
        <w:rPr/>
        <w:t>(e)</w:t>
        <w:tab/>
        <w:t>there are no Bankruptcy Proceedings pending or being contemplated by it, or to its knowledge threatened against it;</w:t>
      </w:r>
    </w:p>
    <w:p>
      <w:pPr>
        <w:pStyle w:val="Heading2"/>
        <w:ind w:hanging="720" w:start="1440" w:end="0"/>
        <w:rPr/>
      </w:pPr>
      <w:r>
        <w:rPr/>
        <w:t>(f)</w:t>
        <w:tab/>
        <w:t>there are no Legal Proceedings pending, or to its knowledge threatened against it that materially adversely affect its ability to perform this Agreement;</w:t>
      </w:r>
    </w:p>
    <w:p>
      <w:pPr>
        <w:pStyle w:val="Justified"/>
        <w:tabs>
          <w:tab w:val="left" w:pos="720" w:leader="none"/>
        </w:tabs>
        <w:ind w:hanging="720" w:start="1440" w:end="0"/>
        <w:rPr/>
      </w:pPr>
      <w:r>
        <w:rPr/>
        <w:t>(g)</w:t>
        <w:tab/>
        <w:t>it has knowledge and experience in financial matters and the electric industry that enable it to evaluate the merits and risks of entering into this Agreement;</w:t>
      </w:r>
    </w:p>
    <w:p>
      <w:pPr>
        <w:pStyle w:val="Justified"/>
        <w:tabs>
          <w:tab w:val="left" w:pos="720" w:leader="none"/>
        </w:tabs>
        <w:ind w:hanging="720" w:start="1440" w:end="0"/>
        <w:rPr/>
      </w:pPr>
      <w:r>
        <w:rPr/>
        <w:t>(h)</w:t>
        <w:tab/>
        <w:t>no Event of Default under Article 9 with respect to it has occurred and is continuing and no such event or circumstance would occur as a result of its entering into or performing its obligations under this Agreement or other document relating hereto to which it is a party;</w:t>
      </w:r>
    </w:p>
    <w:p>
      <w:pPr>
        <w:pStyle w:val="Justified"/>
        <w:tabs>
          <w:tab w:val="left" w:pos="720" w:leader="none"/>
        </w:tabs>
        <w:ind w:hanging="720" w:start="1440" w:end="0"/>
        <w:rPr/>
      </w:pPr>
      <w:r>
        <w:rPr/>
        <w:t>(i)</w:t>
        <w:tab/>
        <w:t>it has entered into this Agreement in connection with the conduct of its business and it has the ability to make or take delivery of Energy;</w:t>
      </w:r>
    </w:p>
    <w:p>
      <w:pPr>
        <w:pStyle w:val="Justified"/>
        <w:tabs>
          <w:tab w:val="left" w:pos="720" w:leader="none"/>
        </w:tabs>
        <w:ind w:hanging="720" w:start="1440" w:end="0"/>
        <w:rPr/>
      </w:pPr>
      <w:r>
        <w:rPr/>
        <w:t>(j)</w:t>
        <w:tab/>
        <w:t>with respect to each transaction involving the purchase or sale of Energy hereunder, it is a producer, processor, commercial user or merchant handling Energy, and it is entering into such transaction for purposes related to its business;</w:t>
      </w:r>
    </w:p>
    <w:p>
      <w:pPr>
        <w:pStyle w:val="Justified"/>
        <w:tabs>
          <w:tab w:val="left" w:pos="720" w:leader="none"/>
        </w:tabs>
        <w:ind w:hanging="720" w:start="1440" w:end="0"/>
        <w:rPr/>
      </w:pPr>
      <w:r>
        <w:rPr/>
        <w:t>(k)</w:t>
        <w:tab/>
        <w:t>it is not relying upon any representations of the other Party other than those expressly set forth in this Agreement or any written guarantee of the obligations of such other Party;</w:t>
      </w:r>
    </w:p>
    <w:p>
      <w:pPr>
        <w:pStyle w:val="Justified"/>
        <w:tabs>
          <w:tab w:val="left" w:pos="720" w:leader="none"/>
        </w:tabs>
        <w:ind w:hanging="720" w:start="1440" w:end="0"/>
        <w:rPr/>
      </w:pPr>
      <w:r>
        <w:rPr/>
        <w:t>(l)</w:t>
        <w:tab/>
        <w:t>it has entered into this Agreement as principal (and not as advisor, agent, broker or in any other capacity, fiduciary or otherwise);</w:t>
      </w:r>
    </w:p>
    <w:p>
      <w:pPr>
        <w:pStyle w:val="Justified"/>
        <w:tabs>
          <w:tab w:val="left" w:pos="720" w:leader="none"/>
        </w:tabs>
        <w:ind w:hanging="720" w:start="1440" w:end="0"/>
        <w:rPr/>
      </w:pPr>
      <w:r>
        <w:rPr/>
        <w:t>(m)</w:t>
        <w:tab/>
        <w:t>it has made its trading and investment decisions (including regarding the suitability thereof) based upon its own evaluation and judgment and any advice from such advisors as it has deemed necessary and not in reliance upon any view expressed by the other Party; and</w:t>
      </w:r>
    </w:p>
    <w:p>
      <w:pPr>
        <w:pStyle w:val="Justified"/>
        <w:numPr>
          <w:ilvl w:val="0"/>
          <w:numId w:val="3"/>
        </w:numPr>
        <w:tabs>
          <w:tab w:val="left" w:pos="720" w:leader="none"/>
        </w:tabs>
        <w:rPr/>
      </w:pPr>
      <w:r>
        <w:rPr/>
        <w:t xml:space="preserve">as between the representing and warranting Party and the other Party, the other Party (A) is acting solely in the capacity of an arm's-length contractual counterparty with respect to this Agreement; (B) is not acting as a financial advisor or fiduciary (or in any similar capacity) with respect to this Agreement and (C) has not given to such representing Party any assurance or guarantee as to the expected performance or result of this Agreement.  </w:t>
      </w:r>
    </w:p>
    <w:p>
      <w:pPr>
        <w:pStyle w:val="Justified"/>
        <w:tabs>
          <w:tab w:val="left" w:pos="720" w:leader="none"/>
        </w:tabs>
        <w:ind w:start="720" w:end="0"/>
        <w:rPr/>
      </w:pPr>
      <w:r>
        <w:rPr/>
        <w:t>Each Party covenants that it will cause these representations and warranties to be true and correct throughout the term of the Agreement.</w:t>
      </w:r>
    </w:p>
    <w:p>
      <w:pPr>
        <w:pStyle w:val="Heading2"/>
        <w:ind w:hanging="720" w:start="720" w:end="0"/>
        <w:rPr/>
      </w:pPr>
      <w:r>
        <w:rPr/>
        <w:t>7.2</w:t>
        <w:tab/>
      </w:r>
      <w:r>
        <w:rPr>
          <w:b/>
          <w:u w:val="single"/>
        </w:rPr>
        <w:t>Buyer’s Additional Representation and Warranty</w:t>
      </w:r>
      <w:r>
        <w:rPr>
          <w:b/>
        </w:rPr>
        <w:t>.</w:t>
      </w:r>
      <w:r>
        <w:rPr/>
        <w:t xml:space="preserve">  Buyer hereby further represents and warrants to Seller that Buyer is a wholesale purchaser and is purchasing the Energy hereunder for resale to its wholesale or retail customers.</w:t>
      </w:r>
    </w:p>
    <w:p>
      <w:pPr>
        <w:pStyle w:val="Heading1"/>
        <w:ind w:hanging="0" w:start="0"/>
        <w:rPr/>
      </w:pPr>
      <w:r>
        <w:rPr/>
        <w:t>article 8.</w:t>
        <w:br/>
        <w:t>ADDITIONAL COVENANTS</w:t>
      </w:r>
    </w:p>
    <w:p>
      <w:pPr>
        <w:pStyle w:val="Heading2"/>
        <w:ind w:hanging="720" w:start="720" w:end="0"/>
        <w:rPr/>
      </w:pPr>
      <w:r>
        <w:rPr/>
        <w:t>8.1</w:t>
        <w:tab/>
      </w:r>
      <w:r>
        <w:rPr>
          <w:b/>
          <w:u w:val="single"/>
        </w:rPr>
        <w:t>Remaking of Representations and Warranties</w:t>
      </w:r>
      <w:r>
        <w:rPr>
          <w:b/>
        </w:rPr>
        <w:t>.</w:t>
      </w:r>
      <w:r>
        <w:rPr/>
        <w:t xml:space="preserve">  Each Party covenants that it will cause its respective representations and warranties in Sections 7.1 and 7.2 to remain true and correct throughout the Contract Term.</w:t>
      </w:r>
    </w:p>
    <w:p>
      <w:pPr>
        <w:pStyle w:val="Heading2"/>
        <w:ind w:hanging="720" w:start="720" w:end="0"/>
        <w:rPr/>
      </w:pPr>
      <w:r>
        <w:rPr/>
        <w:t>8.2</w:t>
        <w:tab/>
      </w:r>
      <w:r>
        <w:rPr>
          <w:b/>
          <w:u w:val="single"/>
        </w:rPr>
        <w:t>Financial Information</w:t>
      </w:r>
      <w:r>
        <w:rPr>
          <w:b/>
        </w:rPr>
        <w:t xml:space="preserve">.  </w:t>
      </w:r>
      <w:r>
        <w:rPr/>
        <w:t>(a) If requested by Buyer, Seller shall deliver (i) within 120 days following the end of each fiscal year, a copy of the annual report of Enron Corp. containing audited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Seller, Buyer shall deliver (i) within 120 days following the end of each fiscal year, a copy of the annual report of ML&amp;Co. containing audited consolidated financial statements for such fiscal year certified by independent certified public accountants and (ii) within 60 days after the end of each of its first three fiscal quarters of each fiscal year, a copy of the quarterly report of ML&amp;Co. containing unaudited consolidated financial statements for such fiscal quarter.  In all cases the statements shall be for the most recent accounting period and prepared in accordance with GAAP or such other principles then in effect; provided, should any such statements not be available timely due to a delay in preparation or certification, such delay shall not be considered a default so long as such Party diligently pursues the preparation, certification and delivery of the statements.</w:t>
      </w:r>
    </w:p>
    <w:p>
      <w:pPr>
        <w:pStyle w:val="Heading2"/>
        <w:tabs>
          <w:tab w:val="left" w:pos="720" w:leader="none"/>
        </w:tabs>
        <w:ind w:hanging="0" w:start="720" w:end="0"/>
        <w:rPr/>
      </w:pPr>
      <w:r>
        <w:rPr/>
        <w:t>(b)</w:t>
        <w:tab/>
        <w:t>Upon reasonable request of either Party, the other Party shall promptly deliver to the requesting Party one or more of the following:  (i) the articles of incorporation, partnership agreement or similar organizational documents for such Party and any Credit Support Provider, (ii) evidence of corporate or similar authority to execute, deliver and perform under this Agreement or to execute, deliver and perform under any Credit Support Document, or (iii) a secretary's certificate as to the continuing full force and effectiveness of the foregoing and the incumbency of individuals executing the foregoing or otherwise purporting to act on behalf of such Party or any Credit Support Provider.</w:t>
      </w:r>
    </w:p>
    <w:p>
      <w:pPr>
        <w:pStyle w:val="Heading1"/>
        <w:ind w:hanging="0" w:start="0"/>
        <w:rPr/>
      </w:pPr>
      <w:r>
        <w:rPr/>
        <w:t>article 9.</w:t>
        <w:br/>
        <w:t>EVENTS OF default and remedies</w:t>
      </w:r>
    </w:p>
    <w:p>
      <w:pPr>
        <w:pStyle w:val="Heading2"/>
        <w:ind w:hanging="720" w:start="720" w:end="0"/>
        <w:rPr/>
      </w:pPr>
      <w:r>
        <w:rPr/>
        <w:t>[9.1</w:t>
        <w:tab/>
      </w:r>
      <w:r>
        <w:rPr>
          <w:b/>
          <w:u w:val="single"/>
        </w:rPr>
        <w:t>Event of Default</w:t>
      </w:r>
      <w:r>
        <w:rPr>
          <w:b/>
        </w:rPr>
        <w:t>.</w:t>
      </w:r>
      <w:r>
        <w:rPr/>
        <w:t xml:space="preserve">  An "Event of Default" shall mean, with respect to a Party (the "Defaulting Party"):</w:t>
      </w:r>
    </w:p>
    <w:p>
      <w:pPr>
        <w:pStyle w:val="Heading2"/>
        <w:ind w:hanging="720" w:start="1440" w:end="0"/>
        <w:rPr/>
      </w:pPr>
      <w:r>
        <w:rPr/>
        <w:t>(a)</w:t>
        <w:tab/>
        <w:t xml:space="preserve">Failure by the Defaulting Party to make, when due, any payment required under this Agreement if such failure is not remedied on or before the third Business Day after written notice of such failure is given to the Defaulting Party by the other Party ("Non-Defaulting Party") and </w:t>
      </w:r>
      <w:r>
        <w:rPr>
          <w:i/>
        </w:rPr>
        <w:t>provided</w:t>
      </w:r>
      <w:r>
        <w:rPr/>
        <w:t xml:space="preserve"> the payment is not the subject of a good faith dispute as described in the billing and payment provisions under Article 10;</w:t>
      </w:r>
    </w:p>
    <w:p>
      <w:pPr>
        <w:pStyle w:val="BodyIndentB"/>
        <w:ind w:hanging="720" w:start="1440" w:end="0"/>
        <w:jc w:val="both"/>
        <w:rPr>
          <w:rFonts w:ascii="Times New Roman" w:hAnsi="Times New Roman" w:cs="Times New Roman"/>
          <w:sz w:val="22"/>
        </w:rPr>
      </w:pPr>
      <w:r>
        <w:rPr>
          <w:rFonts w:cs="Times New Roman" w:ascii="Times New Roman" w:hAnsi="Times New Roman"/>
          <w:sz w:val="22"/>
        </w:rPr>
        <w:t>(b)</w:t>
        <w:tab/>
        <w:t>Failure by the Defaulting Party to comply with or perform any material agreement or material obligation (other than a payment obligation as set forth in clause (a), immediately above or an obligation to deliver/receive Energy, the remedy for which is provided in Article 4) to be complied with or performed by the Party in accordance with this Agreement if such failure is not remedied on or before the thirtieth day after written notice of such failure is given to the Defaulting Party;</w:t>
      </w:r>
    </w:p>
    <w:p>
      <w:pPr>
        <w:pStyle w:val="BodyIndentC"/>
        <w:ind w:hanging="720" w:start="1440" w:end="0"/>
        <w:jc w:val="both"/>
        <w:rPr>
          <w:rFonts w:ascii="Times New Roman" w:hAnsi="Times New Roman" w:cs="Times New Roman"/>
          <w:sz w:val="22"/>
        </w:rPr>
      </w:pPr>
      <w:r>
        <w:rPr>
          <w:rFonts w:cs="Times New Roman" w:ascii="Times New Roman" w:hAnsi="Times New Roman"/>
          <w:sz w:val="22"/>
        </w:rPr>
        <w:t>(c)</w:t>
        <w:tab/>
        <w:t>(i) Failure by the Defaulting Party or any Credit Support Provider of such Defaulting Party to comply with or perform any agreement or obligation to be complied with or performed by it in accordance with any Credit Support Document if such failure is continuing after any applicable grace period has elapsed;  (ii) the expiration or termination of a Credit Support Document or the failing or ceasing of such Credit Support Document to be in full force and effect for the purpose of this Agreement (in either case other than in accordance with its terms) prior to the satisfaction of all obligations of such Defaulting Party under this Agreement without the written consent of the other Party; or (iii) the Defaulting Party or any Credit Support Provider of such Defaulting Party disaffirms, disclaims, repudiates or rejects, in whole or in part, or challenges the validity of, such Credit Support Document or otherwise leases to remain true during the Contract Term;</w:t>
      </w:r>
    </w:p>
    <w:p>
      <w:pPr>
        <w:pStyle w:val="BodyIndentB"/>
        <w:ind w:hanging="720" w:start="1440" w:end="0"/>
        <w:jc w:val="both"/>
        <w:rPr>
          <w:rFonts w:ascii="Times New Roman" w:hAnsi="Times New Roman" w:cs="Times New Roman"/>
          <w:sz w:val="22"/>
        </w:rPr>
      </w:pPr>
      <w:r>
        <w:rPr>
          <w:rFonts w:cs="Times New Roman" w:ascii="Times New Roman" w:hAnsi="Times New Roman"/>
          <w:sz w:val="22"/>
        </w:rPr>
        <w:t>(d)</w:t>
        <w:tab/>
        <w:t>A representation made or repeated or deemed to have been made or repeated by the Defaulting Party or any Credit Support Provider of such Defaulting Party in this Agreement or any Credit Support Document proves to have been incorrect or misleading in any material respect when made or repeated or deemed to have been made or repeated or otherwise ceases to remain true during the Contract Term.</w:t>
      </w:r>
    </w:p>
    <w:p>
      <w:pPr>
        <w:pStyle w:val="BodyIndentB"/>
        <w:ind w:hanging="720" w:start="1440" w:end="0"/>
        <w:jc w:val="both"/>
        <w:rPr>
          <w:rFonts w:ascii="Times New Roman" w:hAnsi="Times New Roman" w:cs="Times New Roman"/>
          <w:sz w:val="22"/>
        </w:rPr>
      </w:pPr>
      <w:r>
        <w:rPr>
          <w:rFonts w:cs="Times New Roman" w:ascii="Times New Roman" w:hAnsi="Times New Roman"/>
          <w:sz w:val="22"/>
        </w:rPr>
        <w:t>(e)</w:t>
        <w:tab/>
        <w:t>The occurrence or existence of (1) a default, event of default or other similar condition or event (however described) in respect of such Defaulting Party or any Credit Support Provider of such Defaulting Party under one or more agreements or instruments relating to Specified Indebtedness in an aggregate amount of not less than US$50,000,000.00 which has resulted in such Specified Indebtedness becoming, or becoming capable at such time of being declared, due and payable under such agreements or instruments, before it would otherwise have been due and payable or (2) a default by such Defaulting Party or any such Credit Support Provider of such Defaulting Party in making one or more payments on the due date thereof in an aggregate amount of not less than US$50,000,000.00 under such agreements or instruments (after giving effect to any applicable notice requirement or grace period);</w:t>
      </w:r>
    </w:p>
    <w:p>
      <w:pPr>
        <w:pStyle w:val="BodyIndentB"/>
        <w:tabs>
          <w:tab w:val="left" w:pos="-2400" w:leader="none"/>
          <w:tab w:val="left" w:pos="720" w:leader="none"/>
        </w:tabs>
        <w:ind w:firstLine="720" w:start="0" w:end="0"/>
        <w:jc w:val="both"/>
        <w:rPr>
          <w:rFonts w:ascii="Times New Roman" w:hAnsi="Times New Roman" w:cs="Times New Roman"/>
          <w:sz w:val="22"/>
        </w:rPr>
      </w:pPr>
      <w:r>
        <w:rPr>
          <w:rFonts w:cs="Times New Roman" w:ascii="Times New Roman" w:hAnsi="Times New Roman"/>
          <w:sz w:val="22"/>
        </w:rPr>
        <w:t>(f)</w:t>
        <w:tab/>
        <w:t>The Defaulting Party or any Credit Support Provider of such Defaulting Party:</w:t>
      </w:r>
    </w:p>
    <w:p>
      <w:pPr>
        <w:pStyle w:val="BodyIndentC"/>
        <w:ind w:start="1440" w:end="0"/>
        <w:jc w:val="both"/>
        <w:rPr>
          <w:rFonts w:ascii="Times New Roman" w:hAnsi="Times New Roman" w:cs="Times New Roman"/>
          <w:sz w:val="22"/>
        </w:rPr>
      </w:pPr>
      <w:r>
        <w:rPr>
          <w:rFonts w:cs="Times New Roman" w:ascii="Times New Roman" w:hAnsi="Times New Roman"/>
          <w:sz w:val="22"/>
        </w:rPr>
        <w:t>(1) is dissolved (other than pursuant to a consolidation, amalgamation or merger); (2) becomes insolvent or is unable to pay its debts or fails or admits in writing its inability generally to pay its debts as they become due; (3) makes a general assignment, arrangement or composition with or for the benefit of its creditors; (4)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liquidation or (B) is not dismissed, discharged, stayed or restrained; (5) has a resolution passed for its winding-up, official management or liquidation (other than pursuant to a consolidation, amalgamation or merger); (6) seeks or becomes subject to the appointment of an administrator, provisional liquidator, conservator, receiver, trustee, custodian or other similar official for it or for all or substantially all its assets; (7)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(8) causes or is subject to any event with respect to it which, under the applicable laws of any jurisdiction, has an analogous effect to any of the events specified in clauses (1) to (7) (inclusive); or (9) takes any action in furtherance of, or indicating its consent to, approval of, or acquiescence in, any of the foregoing acts; or</w:t>
      </w:r>
    </w:p>
    <w:p>
      <w:pPr>
        <w:pStyle w:val="BodyIndentB"/>
        <w:ind w:hanging="720" w:start="1440" w:end="0"/>
        <w:jc w:val="both"/>
        <w:rPr/>
      </w:pPr>
      <w:r>
        <w:rPr>
          <w:rFonts w:cs="Times New Roman" w:ascii="Times New Roman" w:hAnsi="Times New Roman"/>
          <w:kern w:val="0"/>
          <w:sz w:val="22"/>
        </w:rPr>
        <w:t>(g)</w:t>
        <w:tab/>
      </w:r>
      <w:r>
        <w:rPr>
          <w:rFonts w:cs="Times New Roman" w:ascii="Times New Roman" w:hAnsi="Times New Roman"/>
          <w:sz w:val="22"/>
        </w:rPr>
        <w:t xml:space="preserve">The Defaulting Party or any Credit Support Provider of such Defaulting Party consolidates or amalgamates with, or merges with or into, or transfers all or substantially all its assets to, another entity and, at the time of such consolidation, amalgamation, merger or transfer, (i) the resulting, surviving or transferee entity fails to assume all the obligations of such Defaulting Party or such Credit Support Provider under this Agreement or any Credit Support Document to which it or its predecessor was a Party by operation of law or pursuant to an agreement reasonably satisfactory to the other Party to this Agreement; or (ii) the benefits of any Credit Support Document fail to extend (without the consent of the other Defaulting Party) to the performance by such resulting, surviving or transferee entity of its obligations under this Agreement. </w:t>
      </w:r>
    </w:p>
    <w:p>
      <w:pPr>
        <w:pStyle w:val="Heading2"/>
        <w:ind w:hanging="0" w:start="0"/>
        <w:jc w:val="start"/>
        <w:rPr/>
      </w:pPr>
      <w:r>
        <w:rPr/>
        <w:t>9.2</w:t>
        <w:tab/>
      </w:r>
      <w:r>
        <w:rPr>
          <w:b/>
          <w:u w:val="single"/>
        </w:rPr>
        <w:t>Remedies Upon an Event of Default</w:t>
      </w:r>
      <w:r>
        <w:rPr>
          <w:b/>
        </w:rPr>
        <w:t>.</w:t>
      </w:r>
    </w:p>
    <w:p>
      <w:pPr>
        <w:pStyle w:val="Heading2"/>
        <w:ind w:hanging="720" w:start="1440" w:end="0"/>
        <w:rPr/>
      </w:pPr>
      <w:r>
        <w:rPr/>
        <w:t>(a)</w:t>
        <w:tab/>
        <w:t>If an Event of Default occurs with respect to a Defaulting Party at any time during the Contract  Term, the Non-Defaulting Party may, for so long as the Event of Default is continuing, (i) establish a date (which date shall be no earlier than the date notice is effective and no later than ten (10) Business Days after the Non</w:t>
        <w:noBreakHyphen/>
        <w:t>Defaulting Party delivers notice) ("Early Termination Date") on which this Agreement shall terminate and (ii) withhold any payments due in respect of this Agreement.  If an Early Termination Date has been designated, the Non-Defaulting Party shall in good faith calculate its Gains or Losses and Costs (as hereafter defined) as of the early Termination Date, resulting from the termination of this Agreement.  The Gains, Losses and Costs shall be determined by comparing the value of this Agreement had it not been terminated.  The Non</w:t>
        <w:noBreakHyphen/>
        <w:t>Defaulting Party shall aggregate such Gains, Losses and Costs with respect to this Agreement into a single net amount ("Termination Payment") and notify the Defaulting Party.  If the Non</w:t>
        <w:noBreakHyphen/>
        <w:t>Defaulting Party's aggregate Losses and Costs exceed its aggregate Gains, the Defaulting Party shall, within two (2) Business Days of receipt of such notice, pay the net amount to the Non</w:t>
        <w:noBreakHyphen/>
        <w:t xml:space="preserve">Defaulting Party, which amount shall bear interest at the Interest Rate from the Early Termination Date until paid.  If the Non-Defaulting Party's aggregate Gains exceed its aggregate Losses and Costs, if any, resulting from the termination of this Agreement, as of the early Termination Date </w:t>
      </w:r>
      <w:r>
        <w:rPr>
          <w:b/>
        </w:rPr>
        <w:t>[</w:t>
      </w:r>
      <w:r>
        <w:rPr/>
        <w:t>the Non-Defaulting Party shall pay such excess to the Defaulting Party on or before the later of (x) ten (10) days after then end of the Month ending on or after the Early Termination Date and (y) the date five (5) Business Days after receipt of the Defaulting Party of the Non-Defaulting Party’s notice given above, which amount shall bear interest at the Interest Rate from the Early Termination Date until paid</w:t>
      </w:r>
      <w:r>
        <w:rPr>
          <w:b/>
        </w:rPr>
        <w:t>]</w:t>
      </w:r>
      <w:r>
        <w:rPr/>
        <w:t>.  If the Defaulting Party disagrees with the calculation of the Termination Payment, the issue shall be submitted to arbitration in accordance with the arbitration procedures set forth in Section 16.9 and the resulting Termination Payment shall be due and payable within one (1) Business Day after the award.  All amounts ascertained pursuant to this Section 9.2 shall be calculated in a commercially reasonable manner.</w:t>
      </w:r>
    </w:p>
    <w:p>
      <w:pPr>
        <w:pStyle w:val="Heading2"/>
        <w:ind w:hanging="720" w:start="1440" w:end="0"/>
        <w:rPr/>
      </w:pPr>
      <w:r>
        <w:rPr/>
        <w:t>(b)</w:t>
        <w:tab/>
        <w:t>For purposes of this Agreement:</w:t>
      </w:r>
    </w:p>
    <w:p>
      <w:pPr>
        <w:pStyle w:val="Heading2"/>
        <w:numPr>
          <w:ilvl w:val="0"/>
          <w:numId w:val="4"/>
        </w:numPr>
        <w:tabs>
          <w:tab w:val="clear" w:pos="720"/>
        </w:tabs>
        <w:rPr/>
      </w:pPr>
      <w:r>
        <w:rPr/>
        <w:t>"Costs" shall mean, with respect to a Party, brokerage fees, commissions, and other similar transaction costs and expenses reasonably incurred by such Party either in terminating any arrangement pursuant to which it has hedged its obligations, or entering into new arrangements which replace this Agreement and attorneys’ fees, if any, incurred in connection with enforcing its rights under this Agreement.</w:t>
      </w:r>
    </w:p>
    <w:p>
      <w:pPr>
        <w:pStyle w:val="Heading2"/>
        <w:numPr>
          <w:ilvl w:val="0"/>
          <w:numId w:val="4"/>
        </w:numPr>
        <w:tabs>
          <w:tab w:val="clear" w:pos="720"/>
        </w:tabs>
        <w:rPr/>
      </w:pPr>
      <w:r>
        <w:rPr/>
        <w:t>"Gains" shall mean, with respect to a Party, an amount equal to the present value of the economic benefit (exclusive of Costs), if any, to such Party resulting from the termination of its obligations with respect to this Agreement determined in a commercially reasonable manner.</w:t>
      </w:r>
    </w:p>
    <w:p>
      <w:pPr>
        <w:pStyle w:val="Heading2"/>
        <w:numPr>
          <w:ilvl w:val="0"/>
          <w:numId w:val="4"/>
        </w:numPr>
        <w:tabs>
          <w:tab w:val="clear" w:pos="720"/>
        </w:tabs>
        <w:rPr/>
      </w:pPr>
      <w:r>
        <w:rPr/>
        <w:t>"Losses" shall mean, with respect to a Party, an amount equal to the present value of the economic loss (exclusive of Costs), if any, to such Party resulting from the termination of its obligations with respect to this Agreement determined in a commercially reasonable manner.</w:t>
      </w:r>
    </w:p>
    <w:p>
      <w:pPr>
        <w:pStyle w:val="Heading2"/>
        <w:ind w:hanging="720" w:start="1440" w:end="0"/>
        <w:rPr/>
      </w:pPr>
      <w:r>
        <w:rPr/>
        <w:t>(c)</w:t>
        <w:tab/>
        <w:t>In no event, however, shall a Party's Gains, Losses or Costs include any penalties, ratcheted demand or similar charges or any Stranded Costs.  At the time for payment of any amount due under this Section 9.2, each Party shall pay to the other Party all additional amounts payable by it pursuant to this Agreement, but all such amounts shall be netted from and aggregated with any Termination Payment payable hereunder.</w:t>
      </w:r>
    </w:p>
    <w:p>
      <w:pPr>
        <w:pStyle w:val="Heading6"/>
        <w:ind w:hanging="720" w:start="1440" w:end="0"/>
        <w:rPr>
          <w:b/>
        </w:rPr>
      </w:pPr>
      <w:r>
        <w:rPr/>
        <w:t>(d)</w:t>
        <w:tab/>
        <w:t>Notwithstanding any other provision of this Agreement, if Buyer or Seller fails to pay to the other Party any amounts when due, the aggrieved Party shall have the right, upon notice to the other Party to (i) suspend performance for a period not to exceed three (3) Business Days under this Agreement until such amounts plus interest at the Interest Rate have been paid and/or (ii) exercise any remedy available at law or in equity to enforce payment of such amount plus interest at the Interest Rate; provided, however, if the non-paying Party, in good faith, shall dispute the amount of any such billing or part thereof and shall pay such amounts as it concedes to be correct, no suspension shall be permitted.</w:t>
      </w:r>
    </w:p>
    <w:p>
      <w:pPr>
        <w:pStyle w:val="Heading2"/>
        <w:ind w:hanging="720" w:start="720" w:end="0"/>
        <w:rPr/>
      </w:pPr>
      <w:r>
        <w:rPr/>
        <w:t>9.3</w:t>
        <w:tab/>
      </w:r>
      <w:r>
        <w:rPr>
          <w:b/>
          <w:u w:val="single"/>
        </w:rPr>
        <w:t>Other Events</w:t>
      </w:r>
      <w:r>
        <w:rPr/>
        <w:t>. In the event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as a result of the adoption of, or change in, any applicable law, or in the interpretation thereof by any judicial or governmental authority with competent jurisdiction, it becomes unlawful for a Party or any Credit Support Provider of a Party (which shall be the adversely affected Party) to perform any obligation under this Agreement or any Credit Support Document (each such occurrence, an "Event"), then, upon request by the adversely affected Party, the Parties shall promptly attempt in good faith to modify the Agreement so as to restore the Parties as nearly as possible to the same economic positions they were in immediately prior to such Event.  If the Parties are unable, despite good faith efforts, to agree within thirty (30) days of such Event upon a solution that prevents material harm to either Party, the adversely affected Party may terminate any adversely affected Transaction(s) and the other Party shall calculate the Termination Payment for the terminated Transaction(s) using the procedures in Section 9.2.  Written notice shall be given of such an election to terminate at least two (2) Business Days prior to such termination.</w:t>
      </w:r>
    </w:p>
    <w:p>
      <w:pPr>
        <w:pStyle w:val="Heading2"/>
        <w:ind w:hanging="720" w:start="720" w:end="0"/>
        <w:rPr/>
      </w:pPr>
      <w:r>
        <w:rPr/>
        <w:t>9.4.</w:t>
        <w:tab/>
      </w:r>
      <w:r>
        <w:rPr>
          <w:b/>
          <w:u w:val="single"/>
        </w:rPr>
        <w:t>Credit Support Documents</w:t>
      </w:r>
      <w:r>
        <w:rPr/>
        <w:t>.  Each Party agrees to execute and deliver, or to arrange for its Credit Support Provider to execute and deliver, to the other Party hereto, the Credit Support Documents to which it or its Credit Support Provider is a signatory.</w:t>
      </w:r>
    </w:p>
    <w:p>
      <w:pPr>
        <w:pStyle w:val="Heading2"/>
        <w:ind w:hanging="720" w:start="1440" w:end="0"/>
        <w:rPr>
          <w:b/>
        </w:rPr>
      </w:pPr>
      <w:r>
        <w:rPr>
          <w:b/>
        </w:rPr>
        <w:t>[FORWARD CONTRACT PROVISION?]</w:t>
      </w:r>
    </w:p>
    <w:p>
      <w:pPr>
        <w:pStyle w:val="Heading1"/>
        <w:ind w:hanging="0" w:start="0"/>
        <w:rPr/>
      </w:pPr>
      <w:r>
        <w:rPr/>
        <w:t>article 10.</w:t>
        <w:br/>
        <w:t>billing AND payment</w:t>
      </w:r>
    </w:p>
    <w:p>
      <w:pPr>
        <w:pStyle w:val="Heading2"/>
        <w:ind w:hanging="720" w:start="720" w:end="0"/>
        <w:rPr/>
      </w:pPr>
      <w:r>
        <w:rPr/>
        <w:t>10.1</w:t>
        <w:tab/>
      </w:r>
      <w:r>
        <w:rPr>
          <w:b/>
          <w:u w:val="single"/>
        </w:rPr>
        <w:t>Billing and Payment</w:t>
      </w:r>
      <w:r>
        <w:rPr>
          <w:b/>
        </w:rPr>
        <w:t>.</w:t>
      </w:r>
      <w:r>
        <w:rPr/>
        <w:t xml:space="preserve">  Seller shall render to Buyer (by regular mail or other acceptable means pursuant to Article 15) for each calendar Month during the Delivery Term a statement setting forth: (a) the total Demand Charges for the Month and (b) the quantity of Energy that was Scheduled and delivered and the Energy Charge payable for the preceding Month, and (c) and any other charges due Seller, including payments or credits between the Parties pursuant to Sections 4.2, 4.3, 4.4 and 4.5 during the preceding Month and the amounts due to Seller from Buyer therefor.  On or before the 20</w:t>
      </w:r>
      <w:r>
        <w:rPr>
          <w:vertAlign w:val="superscript"/>
        </w:rPr>
        <w:t>th</w:t>
      </w:r>
      <w:r>
        <w:rPr/>
        <w:t xml:space="preserve"> Day of each Month in which Seller’s statement is received or the 10</w:t>
      </w:r>
      <w:r>
        <w:rPr>
          <w:vertAlign w:val="superscript"/>
        </w:rPr>
        <w:t>th</w:t>
      </w:r>
      <w:r>
        <w:rPr/>
        <w:t xml:space="preserve"> Day after such statement is received whichever is later, or if such Day is not a Business Day, the immediately following Business Day, Buyer shall render, by wire transfer, the amount set forth on such statement to the payment address provided in </w:t>
      </w:r>
      <w:r>
        <w:rPr>
          <w:u w:val="single"/>
        </w:rPr>
        <w:t>Exhibit B</w:t>
      </w:r>
      <w:r>
        <w:rPr/>
        <w:t xml:space="preserve"> hereto. </w:t>
      </w:r>
    </w:p>
    <w:p>
      <w:pPr>
        <w:pStyle w:val="Heading2"/>
        <w:ind w:hanging="0" w:start="720" w:end="0"/>
        <w:rPr/>
      </w:pPr>
      <w:r>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Buyer shall also, upon Seller’s reasonable request, place the remainder into an escrow account for Seller’s benefit.  The escrow account shall be established as a separate trust account in the name of Buyer f/b/o Seller at a federally insured banking or other depository institution acceptable to Seller.  Any amount remaining in the trust account after any and all required payments are made to Seller in resolution of a dispute shall be returned to Seller.  If any amount disputed by a Party is determined by the Parties’ agreement or pursuant to arbitration or a binding order of a court with jurisdiction to be due to the other Party, it shall be paid within ten (10) Days of such determination, along with interest accrued at the Interest Rate computed from the original due date until the date paid.  All amounts payable under this Agreement shall be paid in U.S. Dollars.</w:t>
      </w:r>
    </w:p>
    <w:p>
      <w:pPr>
        <w:pStyle w:val="Heading2"/>
        <w:ind w:hanging="630" w:start="630" w:end="0"/>
        <w:rPr/>
      </w:pPr>
      <w:r>
        <w:rPr/>
        <w:t>10.2</w:t>
        <w:tab/>
      </w:r>
      <w:r>
        <w:rPr>
          <w:b/>
          <w:u w:val="single"/>
        </w:rPr>
        <w:t>Setoff</w:t>
      </w:r>
      <w:r>
        <w:rPr>
          <w:b/>
        </w:rPr>
        <w:t>.</w:t>
      </w:r>
      <w:r>
        <w:rPr/>
        <w:t xml:space="preserve">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consistent with Article 12 (to the extent not expressly herein waived or denied) which such Party has or may be entitled to arising from or out of this Agreement.  The obligations to make payment under this Agreement or any other agreement between the Parties </w:t>
      </w:r>
      <w:r>
        <w:rPr>
          <w:b/>
        </w:rPr>
        <w:t>[</w:t>
      </w:r>
      <w:r>
        <w:rPr/>
        <w:t>or their respective Affiliates</w:t>
      </w:r>
      <w:r>
        <w:rPr>
          <w:b/>
        </w:rPr>
        <w:t>]</w:t>
      </w:r>
      <w:r>
        <w:rPr/>
        <w:t xml:space="preserve"> </w:t>
      </w:r>
      <w:r>
        <w:rPr>
          <w:b/>
        </w:rPr>
        <w:t xml:space="preserve">[NEED TO GET LANGUAGE FROM SARA] </w:t>
      </w:r>
      <w:r>
        <w:rPr/>
        <w:t>may be offset against each other, set off or recouped therefrom.</w:t>
      </w:r>
    </w:p>
    <w:p>
      <w:pPr>
        <w:pStyle w:val="Heading2"/>
        <w:ind w:hanging="630" w:start="630" w:end="0"/>
        <w:rPr/>
      </w:pPr>
      <w:r>
        <w:rPr/>
        <w:t>10.3</w:t>
        <w:tab/>
      </w:r>
      <w:r>
        <w:rPr>
          <w:b/>
          <w:u w:val="single"/>
        </w:rPr>
        <w:t>Audit</w:t>
      </w:r>
      <w:r>
        <w:rPr>
          <w:b/>
        </w:rPr>
        <w:t>.</w:t>
      </w:r>
      <w:r>
        <w:rPr/>
        <w:t xml:space="preserve">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If any such examination reveals any inaccuracy in any statement, the necessary adjustments in such statement and the payments thereof will be promptly made and shall bear interest calculated at the Interest Rate from the date the overpayment or underpayment was made until paid; </w:t>
      </w:r>
      <w:r>
        <w:rPr>
          <w:i/>
        </w:rPr>
        <w:t>provided, however,</w:t>
      </w:r>
      <w:r>
        <w:rPr/>
        <w:t xml:space="preserve"> that no adjustment for any statement or payment will be made unless objection to the accuracy thereof was made prior to the lapse of two (2) Years from the rendition thereof; and provided further that this Agreement will survive any termination of this Agreement for a period of two (2) Years from the date of such termination for the purpose of such statement and payment obligations.</w:t>
      </w:r>
    </w:p>
    <w:p>
      <w:pPr>
        <w:pStyle w:val="Heading1"/>
        <w:ind w:hanging="0" w:start="0"/>
        <w:rPr/>
      </w:pPr>
      <w:r>
        <w:rPr/>
        <w:t>article 11.</w:t>
        <w:br/>
        <w:t>assignment; BINDING EFFECT</w:t>
      </w:r>
    </w:p>
    <w:p>
      <w:pPr>
        <w:pStyle w:val="Heading2"/>
        <w:ind w:hanging="720" w:start="720" w:end="0"/>
        <w:rPr/>
      </w:pPr>
      <w:r>
        <w:rPr/>
        <w:t>11.1</w:t>
        <w:tab/>
      </w:r>
      <w:r>
        <w:rPr>
          <w:b/>
          <w:u w:val="single"/>
        </w:rPr>
        <w:t>Assignment</w:t>
      </w:r>
      <w:r>
        <w:rPr>
          <w:b/>
        </w:rPr>
        <w:t>.</w:t>
      </w:r>
      <w:r>
        <w:rPr/>
        <w:t xml:space="preserve">  Neither Party shall assign this Agreement or any of its rights or obligations hereunder without the prior written consent of the other Party, which consent may be withheld in its sole discretion.  Notwithstanding the foregoing, either Party may, without the need for consent from (but with notice to) the other Party (and without relieving itself from liability hereunder), (a) transfer, sell, pledge, encumber or assign this Agreement or the accounts, revenues or proceeds hereof in connection with any financing or other financial arrangements; (b) transfer or assign this Agreement to an Affiliate of such Party provided, that such Party’s Credit Support Provider issues a Credit Support Document substantially in the form provided in connection with the execution hereof, (c) without prejudice to the other Party’s rights hereunder, transfer or assign this Agreement to any person or entity succeeding to all or substantially all of the assets of such Party; provided, however, that in each such case, any such assignee shall agree in writing to be bound by the terms and conditions hereof, or (d) either Party may assign all or any part of its interest in any amount payable to it from a Defaulting Party pursuant to Section 9.2 hereof. </w:t>
      </w:r>
    </w:p>
    <w:p>
      <w:pPr>
        <w:pStyle w:val="Heading2"/>
        <w:ind w:hanging="720" w:start="720" w:end="0"/>
        <w:rPr/>
      </w:pPr>
      <w:r>
        <w:rPr/>
        <w:t>11.2</w:t>
        <w:tab/>
      </w:r>
      <w:r>
        <w:rPr>
          <w:b/>
          <w:u w:val="single"/>
        </w:rPr>
        <w:t>Binding Effect</w:t>
      </w:r>
      <w:r>
        <w:rPr>
          <w:b/>
        </w:rPr>
        <w:t>.</w:t>
      </w:r>
      <w:r>
        <w:rPr/>
        <w:t xml:space="preserve">  This Agreement shall inure to the benefit of and be binding upon the Parties and their respective successors and permitted assigns.  No assignment or transfer permitted hereunder shall relieve Seller or Buyer of any of their respective obligations under this Agreement.</w:t>
      </w:r>
    </w:p>
    <w:p>
      <w:pPr>
        <w:pStyle w:val="Heading1"/>
        <w:ind w:hanging="0" w:start="0"/>
        <w:rPr/>
      </w:pPr>
      <w:r>
        <w:rPr/>
        <w:t>article 12.</w:t>
        <w:br/>
        <w:t>force majeure and limitation of liability</w:t>
      </w:r>
    </w:p>
    <w:p>
      <w:pPr>
        <w:pStyle w:val="Heading2"/>
        <w:ind w:hanging="720" w:start="720" w:end="0"/>
        <w:rPr/>
      </w:pPr>
      <w:r>
        <w:rPr/>
        <w:t>12.1</w:t>
        <w:tab/>
      </w:r>
      <w:r>
        <w:rPr>
          <w:b/>
          <w:u w:val="single"/>
        </w:rPr>
        <w:t>Force Majeure</w:t>
      </w:r>
      <w:r>
        <w:rPr>
          <w:b/>
        </w:rPr>
        <w:t>.</w:t>
      </w:r>
      <w:r>
        <w:rPr/>
        <w:t xml:space="preserve">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w:t>
      </w:r>
      <w:r>
        <w:rPr>
          <w:i/>
        </w:rPr>
        <w:t>provided, however,</w:t>
      </w:r>
      <w:r>
        <w:rPr/>
        <w:t xml:space="preserve"> Buyer shall be obligated to pay the Demand Charges under this Agreement notwithstanding the Force Majeure.  The Party affected by the Force Majeure shall remedy the Force Majeure with all reasonable dispatch; </w:t>
      </w:r>
      <w:r>
        <w:rPr>
          <w:i/>
        </w:rPr>
        <w:t>provided, however,</w:t>
      </w:r>
      <w:r>
        <w:rPr/>
        <w:t xml:space="preserve"> that this provision shall not require Seller or Buyer to (i) settle any strikes or other labor disputes or (ii) deliver or receive Energy at points other than the Delivery Points.</w:t>
      </w:r>
    </w:p>
    <w:p>
      <w:pPr>
        <w:pStyle w:val="Heading2"/>
        <w:ind w:hanging="720" w:start="720" w:end="0"/>
        <w:rPr/>
      </w:pPr>
      <w:r>
        <w:rPr/>
        <w:t>12.2</w:t>
        <w:tab/>
      </w:r>
      <w:r>
        <w:rPr>
          <w:b/>
          <w:u w:val="single"/>
        </w:rPr>
        <w:t>Limitation of Remedies, Liability and Damages</w:t>
      </w:r>
      <w:r>
        <w:rPr>
          <w:b/>
        </w:rPr>
        <w:t>.</w:t>
      </w:r>
      <w:r>
        <w:rPr/>
        <w:t xml:space="preserve">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PROVIDED IN THIS AGREEMENT,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ind w:hanging="630" w:start="630" w:end="0"/>
        <w:rPr/>
      </w:pPr>
      <w:r>
        <w:rPr/>
        <w:t>12.3</w:t>
        <w:tab/>
      </w:r>
      <w:r>
        <w:rPr>
          <w:b/>
          <w:u w:val="single"/>
        </w:rPr>
        <w:t>Duty to Mitigate</w:t>
      </w:r>
      <w:r>
        <w:fldChar w:fldCharType="begin"/>
      </w:r>
      <w:r>
        <w:rPr/>
        <w:instrText xml:space="preserve"> TC "12.3</w:instrText>
        <w:tab/>
        <w:instrText xml:space="preserve">Duty to Mitigate" \l 2 </w:instrText>
      </w:r>
      <w:r>
        <w:rPr/>
        <w:fldChar w:fldCharType="separate"/>
      </w:r>
      <w:r>
        <w:rPr/>
      </w:r>
      <w:r>
        <w:rPr/>
        <w:fldChar w:fldCharType="end"/>
      </w:r>
      <w:r>
        <w:rPr>
          <w:b/>
        </w:rPr>
        <w:t>.</w:t>
      </w:r>
      <w:r>
        <w:rPr/>
        <w:t xml:space="preserve">  Each Party agrees that it has a duty to mitigate damages and covenants that it will use its best reasonable efforts to minimize any damages it may incur as a result of the other Party’s performance or non-performance of this Agreement.</w:t>
      </w:r>
    </w:p>
    <w:p>
      <w:pPr>
        <w:pStyle w:val="Heading2"/>
        <w:ind w:hanging="630" w:start="630" w:end="0"/>
        <w:rPr/>
      </w:pPr>
      <w:r>
        <w:rPr/>
        <w:t>12.4</w:t>
        <w:tab/>
      </w:r>
      <w:r>
        <w:rPr>
          <w:b/>
          <w:u w:val="single"/>
        </w:rPr>
        <w:t>UCC</w:t>
      </w:r>
      <w:r>
        <w:fldChar w:fldCharType="begin"/>
      </w:r>
      <w:r>
        <w:rPr/>
        <w:instrText xml:space="preserve"> TC "12.4</w:instrText>
        <w:tab/>
        <w:instrText xml:space="preserve">SELLER'S NEGATION" \l 2 </w:instrText>
      </w:r>
      <w:r>
        <w:rPr/>
        <w:fldChar w:fldCharType="separate"/>
      </w:r>
      <w:r>
        <w:rPr/>
      </w:r>
      <w:r>
        <w:rPr/>
        <w:fldChar w:fldCharType="end"/>
      </w:r>
      <w:r>
        <w:rPr>
          <w:b/>
          <w:u w:val="single"/>
        </w:rPr>
        <w:t>.</w:t>
      </w:r>
      <w:r>
        <w:rPr/>
        <w:t xml:space="preserve">  Except as otherwise provided herein, the provisions of the Uniform Commercial Code ("UCC") of the state whose laws shall govern this Agreement shall be deemed to apply to all transactions under this Agreement and Energy shall be deemed to be a "good" for purposes of the UCC.  EXCEPT AS MAY BE EXPRESSLY SET FORTH HEREIN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ind w:hanging="0" w:start="0"/>
        <w:rPr/>
      </w:pPr>
      <w:r>
        <w:rPr/>
        <w:t>article 13.</w:t>
        <w:br/>
        <w:t>TAXES; STRANDED COSTS</w:t>
      </w:r>
    </w:p>
    <w:p>
      <w:pPr>
        <w:pStyle w:val="Heading2"/>
        <w:ind w:hanging="720" w:start="720" w:end="0"/>
        <w:rPr/>
      </w:pPr>
      <w:r>
        <w:rPr/>
        <w:t>13.1</w:t>
        <w:tab/>
      </w:r>
      <w:r>
        <w:rPr>
          <w:b/>
          <w:u w:val="single"/>
        </w:rPr>
        <w:t>Taxes</w:t>
      </w:r>
      <w:r>
        <w:rPr/>
        <w:t xml:space="preserve">  The Contract Price shall include full reimbursement for, and Seller is liable for and shall pay, or cause to be paid, or reimburse Buyer if Buyer has paid, all Taxes arising prior to the Delivery Points.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arising at and from the Delivery Points,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w:t>
      </w:r>
    </w:p>
    <w:p>
      <w:pPr>
        <w:pStyle w:val="Heading2"/>
        <w:keepNext w:val="true"/>
        <w:keepLines/>
        <w:ind w:hanging="0" w:start="0"/>
        <w:rPr/>
      </w:pPr>
      <w:r>
        <w:rPr/>
        <w:t>13.2</w:t>
        <w:tab/>
      </w:r>
      <w:r>
        <w:rPr>
          <w:b/>
          <w:u w:val="single"/>
        </w:rPr>
        <w:t>New Taxes</w:t>
      </w:r>
    </w:p>
    <w:p>
      <w:pPr>
        <w:pStyle w:val="Heading6"/>
        <w:keepNext w:val="true"/>
        <w:keepLines/>
        <w:ind w:hanging="810" w:start="1440" w:end="0"/>
        <w:rPr/>
      </w:pPr>
      <w:r>
        <w:rPr/>
        <w:fldChar w:fldCharType="begin"/>
      </w:r>
      <w:r>
        <w:rPr/>
        <w:instrText xml:space="preserve"> SEQ AutoNr \* ARABIC </w:instrText>
      </w:r>
      <w:r>
        <w:rPr/>
        <w:fldChar w:fldCharType="separate"/>
      </w:r>
      <w:r>
        <w:rPr/>
        <w:t>1</w:t>
      </w:r>
      <w:r>
        <w:rPr/>
        <w:fldChar w:fldCharType="end"/>
      </w:r>
      <w:r>
        <w:rPr/>
        <w:tab/>
        <w:t xml:space="preserve">Notwithstanding any other provision of this Agreement to the contrary, if (i) a New Tax is imposed </w:t>
      </w:r>
      <w:r>
        <w:rPr>
          <w:u w:val="single"/>
        </w:rPr>
        <w:t>and</w:t>
      </w:r>
      <w:r>
        <w:rPr/>
        <w:t xml:space="preserve"> (ii) Buyer or Seller would be responsible for such New Tax </w:t>
      </w:r>
      <w:r>
        <w:rPr>
          <w:u w:val="single"/>
        </w:rPr>
        <w:t>and</w:t>
      </w:r>
      <w:r>
        <w:rPr/>
        <w:t xml:space="preserve"> (iii) such New Tax is (as a result of laws, regulations and applicable contracts of Buyer in effect as of the effective date of the New Tax) of the type that Buyer can pass directly through to, or be reimbursed by, another person or entity, Buyer shall pay or cause to be paid, or reimburse Seller if Seller has paid, all such New Taxes and Buyer shall indemnify, defend and hold harmless Seller from any Claims for such New Taxes.  </w:t>
      </w:r>
    </w:p>
    <w:p>
      <w:pPr>
        <w:pStyle w:val="Heading6"/>
        <w:ind w:hanging="720" w:start="1440" w:end="0"/>
        <w:rPr/>
      </w:pPr>
      <w:r>
        <w:rPr/>
        <w:fldChar w:fldCharType="begin"/>
      </w:r>
      <w:r>
        <w:rPr/>
        <w:instrText xml:space="preserve"> SEQ AutoNr \* ARABIC </w:instrText>
      </w:r>
      <w:r>
        <w:rPr/>
        <w:fldChar w:fldCharType="separate"/>
      </w:r>
      <w:r>
        <w:rPr/>
        <w:t>2</w:t>
      </w:r>
      <w:r>
        <w:rPr/>
        <w:fldChar w:fldCharType="end"/>
      </w:r>
      <w:r>
        <w:rPr/>
        <w:tab/>
        <w:t>If (i) a New Tax occurs and (ii) Buyer or Seller would be responsible for paying such New Tax and (iii) Paragraph (a) does not apply, the Party responsible for the New Tax ("Affected Party") shall be entitled to declare an Early Termination Date with respect to this Agreement subject to the following conditions:  (a) the Affected Party must give the other Party ("Non-Affected Party") at least thirty (30) days prior written notice (the "Agreement Period") of its intent to declare an Early Termination Date (which notice shall be given no later than ninety (90) days after the later of the enactment or effective date of the relevant New Tax), and prior to the proposed Early Termination Date, Buyer and Seller shall attempt to reach a mutual agreement as to the sharing of the New Tax, (b) if a mutual sharing agreement is not reached, the Non-Affected Party shall have the right, but not the obligation, upon written notice to the Affected Party within the Agreement Period, to pay the New Tax for any continuous period it so elects on a month to month basis, and in such case the Affected Party shall not have the right during such continuous period to declare the Early Termination Date on the basis of the New Tax, (c) should the Non-Affected Party at its election agree to pay the New Tax on a month to month basis, then upon 30 days prior written notice to the Affected Party of its election to cease payment of such New Tax, the Affected Party shall then be liable for the payment of the New Tax and the Parties shall again be subject to this </w:t>
      </w:r>
      <w:r>
        <w:rPr>
          <w:u w:val="single"/>
        </w:rPr>
        <w:t>Section 13.2</w:t>
      </w:r>
      <w:r>
        <w:rPr/>
        <w:t xml:space="preserve"> as if the New Tax had an effective date as of the date the Non-Affected Party ceases payment of such New Tax, (d) if a mutual sharing agreement is not reached and the Non-Affected Party does not elect to pay the New Tax for any period of time within the Agreement Period, the Early Termination Date shall take effect (e) the Early Termination Date shall be effected as if an Event of Default had occurred; provided, both Seller and Buyer shall calculate in a commercially reasonable manner their net Gain (amount of Gain after netting Losses and Costs) or net Loss (amount of Losses and Costs after netting Gains) resulting from the termination of this Agreement as if they each were a Notifying Party; and provided further, that each Party’s Gains and Losses shall be determined without taking into effect the impact of the New Taxes, (f) (i) if both Parties have a net Gain, the party with the greater net Gain shall pay to the other party fifty percent (50%) of the difference between the two (2) net Gains; (ii) if both Parties have a net Loss, the party with the lesser net Loss shall pay to the other party fifty percent (50%) of the absolute value of the difference between the two (2) net Losses; and (iii) if one party shall have a net Gain and the other party shall have a net Loss, the party with the net Gain shall pay to the other party fifty percent (50%) of the sum of the absolute value of the net Gain and the absolute value of the net Loss and (g) such payment shall be payable as provided in </w:t>
      </w:r>
      <w:r>
        <w:rPr>
          <w:u w:val="single"/>
        </w:rPr>
        <w:t>Section 9.2</w:t>
      </w:r>
      <w:r>
        <w:rPr/>
        <w:t>.  Prior to and including the initial Agreement Period invoked under this </w:t>
      </w:r>
      <w:r>
        <w:rPr>
          <w:u w:val="single"/>
        </w:rPr>
        <w:t>Section 13.2</w:t>
      </w:r>
      <w:r>
        <w:rPr/>
        <w:t>, New Taxes shall be allocated as if they were Taxes as provided in </w:t>
      </w:r>
      <w:r>
        <w:rPr>
          <w:u w:val="single"/>
        </w:rPr>
        <w:t>Section 13.1</w:t>
      </w:r>
      <w:r>
        <w:rPr/>
        <w:t>.  The intent of this </w:t>
      </w:r>
      <w:r>
        <w:rPr>
          <w:u w:val="single"/>
        </w:rPr>
        <w:t>Section 13.2</w:t>
      </w:r>
      <w:r>
        <w:rPr/>
        <w:t xml:space="preserve"> is to leave neither party with an unfair burden as a result of New Taxes.</w:t>
      </w:r>
    </w:p>
    <w:p>
      <w:pPr>
        <w:pStyle w:val="Heading2"/>
        <w:ind w:hanging="720" w:start="720" w:end="0"/>
        <w:rPr/>
      </w:pPr>
      <w:r>
        <w:rPr/>
      </w:r>
    </w:p>
    <w:p>
      <w:pPr>
        <w:pStyle w:val="Heading2"/>
        <w:ind w:hanging="720" w:start="720" w:end="0"/>
        <w:rPr/>
      </w:pPr>
      <w:r>
        <w:rPr/>
        <w:t>13.3</w:t>
        <w:tab/>
      </w:r>
      <w:r>
        <w:rPr>
          <w:b/>
          <w:u w:val="single"/>
        </w:rPr>
        <w:t>Stranded Costs</w:t>
      </w:r>
      <w:r>
        <w:fldChar w:fldCharType="begin"/>
      </w:r>
      <w:r>
        <w:rPr/>
        <w:instrText xml:space="preserve"> TC "13.3</w:instrText>
        <w:tab/>
        <w:instrText xml:space="preserve">Stranded Costs" \l 2 </w:instrText>
      </w:r>
      <w:r>
        <w:rPr/>
        <w:fldChar w:fldCharType="separate"/>
      </w:r>
      <w:r>
        <w:rPr/>
      </w:r>
      <w:r>
        <w:rPr/>
        <w:fldChar w:fldCharType="end"/>
      </w:r>
      <w:r>
        <w:rPr>
          <w:b/>
        </w:rPr>
        <w:t>.</w:t>
      </w:r>
      <w:r>
        <w:rPr/>
        <w:t xml:space="preserve">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1"/>
        <w:ind w:hanging="0" w:start="0"/>
        <w:rPr/>
      </w:pPr>
      <w:r>
        <w:rPr/>
        <w:t>article 14.</w:t>
        <w:br/>
        <w:t>CONFIDENTIALITY</w:t>
      </w:r>
    </w:p>
    <w:p>
      <w:pPr>
        <w:pStyle w:val="Heading2"/>
        <w:ind w:hanging="720" w:start="720" w:end="0"/>
        <w:rPr/>
      </w:pPr>
      <w:r>
        <w:rPr/>
        <w:t>14.1</w:t>
        <w:tab/>
      </w:r>
      <w:r>
        <w:rPr>
          <w:b/>
          <w:u w:val="single"/>
        </w:rPr>
        <w:t>Confidentiality</w:t>
      </w:r>
      <w:r>
        <w:fldChar w:fldCharType="begin"/>
      </w:r>
      <w:r>
        <w:rPr/>
        <w:instrText xml:space="preserve"> TC "14.1</w:instrText>
        <w:tab/>
        <w:instrText xml:space="preserve">Confidentiality" \l 2 </w:instrText>
      </w:r>
      <w:r>
        <w:rPr/>
        <w:fldChar w:fldCharType="separate"/>
      </w:r>
      <w:r>
        <w:rPr/>
      </w:r>
      <w:r>
        <w:rPr/>
        <w:fldChar w:fldCharType="end"/>
      </w:r>
      <w:r>
        <w:rPr>
          <w:b/>
        </w:rPr>
        <w:t>.</w:t>
      </w:r>
      <w:r>
        <w:rPr/>
        <w:t xml:space="preserve">  Each Party shall not disclose the terms of this Agreement regarding the Contract Quantity and the Contract Price to a third party (other than the Party's Affiliates, its and its Affiliates' employees, lenders, advisers, counsel or accountants who have agreed to keep such terms confidential) except in order to comply with any applicable law, exchange rule or request of regulatory authority; </w:t>
      </w:r>
      <w:r>
        <w:rPr>
          <w:i/>
        </w:rPr>
        <w:t xml:space="preserve">provided, </w:t>
      </w:r>
      <w:r>
        <w:rPr/>
        <w:t>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[This Agreement supersedes and replaces the confidentiality agreement dated ___________________.]</w:t>
      </w:r>
    </w:p>
    <w:p>
      <w:pPr>
        <w:pStyle w:val="Heading1"/>
        <w:ind w:hanging="0" w:start="0"/>
        <w:rPr/>
      </w:pPr>
      <w:r>
        <w:rPr/>
        <w:t>article 15.</w:t>
        <w:br/>
        <w:t>notices</w:t>
      </w:r>
    </w:p>
    <w:p>
      <w:pPr>
        <w:pStyle w:val="Heading2"/>
        <w:ind w:hanging="720" w:start="720" w:end="0"/>
        <w:rPr/>
      </w:pPr>
      <w:r>
        <w:rPr/>
        <w:t>15.1</w:t>
        <w:tab/>
      </w:r>
      <w:r>
        <w:rPr>
          <w:b/>
          <w:u w:val="single"/>
        </w:rPr>
        <w:t>Notices</w:t>
      </w:r>
      <w:r>
        <w:fldChar w:fldCharType="begin"/>
      </w:r>
      <w:r>
        <w:rPr/>
        <w:instrText xml:space="preserve"> TC "15.1</w:instrText>
        <w:tab/>
        <w:instrText xml:space="preserve">Notices" \l 2 </w:instrText>
      </w:r>
      <w:r>
        <w:rPr/>
        <w:fldChar w:fldCharType="separate"/>
      </w:r>
      <w:r>
        <w:rPr/>
      </w:r>
      <w:r>
        <w:rPr/>
        <w:fldChar w:fldCharType="end"/>
      </w:r>
      <w:r>
        <w:rPr>
          <w:b/>
        </w:rPr>
        <w:t>.</w:t>
      </w:r>
      <w:r>
        <w:rPr/>
        <w:t xml:space="preserve">  All notices, requests, statements or payments shall be made as specified in </w:t>
      </w:r>
      <w:r>
        <w:rPr>
          <w:u w:val="single"/>
        </w:rPr>
        <w:t>Exhibit B</w:t>
      </w:r>
      <w:r>
        <w:rPr/>
        <w:t xml:space="preserve">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the Business Day following the Day after it was sent.  A Party may change its address by providing notice of same in accordance herewith.</w:t>
      </w:r>
    </w:p>
    <w:p>
      <w:pPr>
        <w:pStyle w:val="Heading1"/>
        <w:ind w:hanging="0" w:start="0"/>
        <w:rPr/>
      </w:pPr>
      <w:r>
        <w:rPr/>
        <w:t>article 16.</w:t>
        <w:br/>
        <w:t>miscellaneous</w:t>
      </w:r>
    </w:p>
    <w:p>
      <w:pPr>
        <w:pStyle w:val="Heading2"/>
        <w:ind w:hanging="720" w:start="720" w:end="0"/>
        <w:rPr/>
      </w:pPr>
      <w:r>
        <w:rPr/>
        <w:t>16.1</w:t>
        <w:tab/>
      </w:r>
      <w:r>
        <w:rPr>
          <w:b/>
          <w:u w:val="single"/>
        </w:rPr>
        <w:t>Entirety</w:t>
      </w:r>
      <w:r>
        <w:fldChar w:fldCharType="begin"/>
      </w:r>
      <w:r>
        <w:rPr/>
        <w:instrText xml:space="preserve"> TC "16.1</w:instrText>
        <w:tab/>
        <w:instrText xml:space="preserve">Entirety" \l 2 </w:instrText>
      </w:r>
      <w:r>
        <w:rPr/>
        <w:fldChar w:fldCharType="separate"/>
      </w:r>
      <w:r>
        <w:rPr/>
      </w:r>
      <w:r>
        <w:rPr/>
        <w:fldChar w:fldCharType="end"/>
      </w:r>
      <w:r>
        <w:rPr>
          <w:b/>
        </w:rPr>
        <w:t>.</w:t>
      </w:r>
      <w:r>
        <w:rPr/>
        <w:t xml:space="preserve">  This Agreement and the Exhibits hereto constitute the entire agreement between the Parties.  There are no prior or contemporaneous agreements or representations affecting the same subject matter (including, without limitation, any [Master Energy Purchase and Sale Agreement] or similar master agreement which may have been entered into by the Parties hereto) other than those herein expressed.  Except for any matters which, in accordance with the express provisions of this Agreement, may be resolved by oral agreement between the Parties, no amendment, modification or change herein shall be enforceable unless reduced to writing and executed by both Parties.</w:t>
      </w:r>
    </w:p>
    <w:p>
      <w:pPr>
        <w:pStyle w:val="Heading2"/>
        <w:ind w:hanging="720" w:start="720" w:end="0"/>
        <w:rPr/>
      </w:pPr>
      <w:r>
        <w:rPr/>
        <w:t>16.2</w:t>
        <w:tab/>
      </w:r>
      <w:r>
        <w:rPr>
          <w:b/>
          <w:u w:val="single"/>
        </w:rPr>
        <w:t>Governing Law</w:t>
      </w:r>
      <w:r>
        <w:fldChar w:fldCharType="begin"/>
      </w:r>
      <w:r>
        <w:rPr/>
        <w:instrText xml:space="preserve"> TC "16.2</w:instrText>
        <w:tab/>
        <w:instrText xml:space="preserve">Governing Law" \l 2 </w:instrText>
      </w:r>
      <w:r>
        <w:rPr/>
        <w:fldChar w:fldCharType="separate"/>
      </w:r>
      <w:r>
        <w:rPr/>
      </w:r>
      <w:r>
        <w:rPr/>
        <w:fldChar w:fldCharType="end"/>
      </w:r>
      <w:r>
        <w:rPr>
          <w:b/>
        </w:rPr>
        <w:t>.</w:t>
      </w:r>
      <w:r>
        <w:rPr/>
        <w:t xml:space="preserve">  THIS AGREEMENT AND THE RIGHTS AND DUTIES OF THE PARTIES HEREUNDER SHALL BE GOVERNED BY AND CONSTRUED, ENFORCED AND PERFORMED IN ACCORDANCE WITH THE LAWS OF THE STATE OF NEW YORK, WITHOUT GIVING EFFECT TO PRINCIPLES OF CONFLICTS OF LAWS.</w:t>
      </w:r>
    </w:p>
    <w:p>
      <w:pPr>
        <w:pStyle w:val="Heading2"/>
        <w:ind w:hanging="720" w:start="720" w:end="0"/>
        <w:rPr/>
      </w:pPr>
      <w:r>
        <w:rPr/>
        <w:t>16.3</w:t>
        <w:tab/>
      </w:r>
      <w:r>
        <w:rPr>
          <w:b/>
          <w:u w:val="single"/>
        </w:rPr>
        <w:t>Non</w:t>
        <w:noBreakHyphen/>
        <w:t>Waiver</w:t>
      </w:r>
      <w:r>
        <w:fldChar w:fldCharType="begin"/>
      </w:r>
      <w:r>
        <w:rPr/>
        <w:instrText xml:space="preserve"> TC "16.3</w:instrText>
        <w:tab/>
        <w:instrText xml:space="preserve">Non_x001e_Waiver" \l 2 </w:instrText>
      </w:r>
      <w:r>
        <w:rPr/>
        <w:fldChar w:fldCharType="separate"/>
      </w:r>
      <w:r>
        <w:rPr/>
      </w:r>
      <w:r>
        <w:rPr/>
        <w:fldChar w:fldCharType="end"/>
      </w:r>
      <w:r>
        <w:rPr>
          <w:b/>
        </w:rPr>
        <w:t>.</w:t>
      </w:r>
      <w:r>
        <w:rPr/>
        <w:t xml:space="preserve">  No waiver by any Party hereto of any one or more defaults by the other Party in the performance of any of the provisions of this Agreement shall be construed as a waiver of any other default or defaults whether of a like kind or different nature.  Buyer hereby waives its right to pursue specific performance remedies against Seller under this Agreement.</w:t>
      </w:r>
    </w:p>
    <w:p>
      <w:pPr>
        <w:pStyle w:val="Heading2"/>
        <w:ind w:hanging="720" w:start="720" w:end="0"/>
        <w:rPr/>
      </w:pPr>
      <w:r>
        <w:rPr/>
        <w:t>16.4</w:t>
        <w:tab/>
      </w:r>
      <w:r>
        <w:rPr>
          <w:b/>
          <w:u w:val="single"/>
        </w:rPr>
        <w:t>Severability</w:t>
      </w:r>
      <w:r>
        <w:fldChar w:fldCharType="begin"/>
      </w:r>
      <w:r>
        <w:rPr/>
        <w:instrText xml:space="preserve"> TC "16.4</w:instrText>
        <w:tab/>
        <w:instrText xml:space="preserve">Severability" \l 2 </w:instrText>
      </w:r>
      <w:r>
        <w:rPr/>
        <w:fldChar w:fldCharType="separate"/>
      </w:r>
      <w:r>
        <w:rPr/>
      </w:r>
      <w:r>
        <w:rPr/>
        <w:fldChar w:fldCharType="end"/>
      </w:r>
      <w:r>
        <w:rPr>
          <w:b/>
        </w:rPr>
        <w:t>.</w:t>
      </w:r>
      <w:r>
        <w:rPr/>
        <w:t xml:space="preserve">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ind w:hanging="720" w:start="720" w:end="0"/>
        <w:rPr/>
      </w:pPr>
      <w:r>
        <w:rPr/>
        <w:t>16.5</w:t>
        <w:tab/>
      </w:r>
      <w:r>
        <w:rPr>
          <w:b/>
          <w:u w:val="single"/>
        </w:rPr>
        <w:t>Headings; Exhibits</w:t>
      </w:r>
      <w:r>
        <w:fldChar w:fldCharType="begin"/>
      </w:r>
      <w:r>
        <w:rPr/>
        <w:instrText xml:space="preserve"> TC "16.5</w:instrText>
        <w:tab/>
        <w:instrText xml:space="preserve">Headings; Exhibits" \l 2 </w:instrText>
      </w:r>
      <w:r>
        <w:rPr/>
        <w:fldChar w:fldCharType="separate"/>
      </w:r>
      <w:r>
        <w:rPr/>
      </w:r>
      <w:r>
        <w:rPr/>
        <w:fldChar w:fldCharType="end"/>
      </w:r>
      <w:r>
        <w:rPr>
          <w:b/>
        </w:rPr>
        <w:t>.</w:t>
      </w:r>
      <w:r>
        <w:rPr/>
        <w:t xml:space="preserve">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Heading2"/>
        <w:ind w:hanging="720" w:start="720" w:end="0"/>
        <w:rPr/>
      </w:pPr>
      <w:r>
        <w:rPr/>
        <w:t>16.6</w:t>
        <w:tab/>
      </w:r>
      <w:r>
        <w:rPr>
          <w:b/>
          <w:u w:val="single"/>
        </w:rPr>
        <w:t>Winding Up Arrangements</w:t>
      </w:r>
      <w:r>
        <w:fldChar w:fldCharType="begin"/>
      </w:r>
      <w:r>
        <w:rPr/>
        <w:instrText xml:space="preserve"> TC "16.6</w:instrText>
        <w:tab/>
        <w:instrText xml:space="preserve">Winding Up Arrangements" \l 2 </w:instrText>
      </w:r>
      <w:r>
        <w:rPr/>
        <w:fldChar w:fldCharType="separate"/>
      </w:r>
      <w:r>
        <w:rPr/>
      </w:r>
      <w:r>
        <w:rPr/>
        <w:fldChar w:fldCharType="end"/>
      </w:r>
      <w:r>
        <w:rPr>
          <w:b/>
        </w:rPr>
        <w:t>.</w:t>
      </w:r>
      <w:r>
        <w:rPr/>
        <w:t xml:space="preserve">  All indemnity and audit rights shall survive the termination of this Agreement.  All obligations provided in this Agreement shall remain in effect for the purpose of complying herewith.</w:t>
      </w:r>
    </w:p>
    <w:p>
      <w:pPr>
        <w:pStyle w:val="Heading2"/>
        <w:ind w:hanging="720" w:start="720" w:end="0"/>
        <w:rPr/>
      </w:pPr>
      <w:r>
        <w:rPr/>
        <w:t>16.7</w:t>
        <w:tab/>
      </w:r>
      <w:r>
        <w:rPr>
          <w:b/>
          <w:u w:val="single"/>
        </w:rPr>
        <w:t>No Third Party Beneficiaries</w:t>
      </w:r>
      <w:r>
        <w:fldChar w:fldCharType="begin"/>
      </w:r>
      <w:r>
        <w:rPr/>
        <w:instrText xml:space="preserve"> TC "16.7</w:instrText>
        <w:tab/>
        <w:instrText xml:space="preserve">No Third Party Beneficiaries" \l 2 </w:instrText>
      </w:r>
      <w:r>
        <w:rPr/>
        <w:fldChar w:fldCharType="separate"/>
      </w:r>
      <w:r>
        <w:rPr/>
      </w:r>
      <w:r>
        <w:rPr/>
        <w:fldChar w:fldCharType="end"/>
      </w:r>
      <w:r>
        <w:rPr>
          <w:b/>
        </w:rPr>
        <w:t>.</w:t>
      </w:r>
      <w:r>
        <w:rPr/>
        <w:t xml:space="preserve">  This Agreement confers no rights whatsoever upon any person other than the Parties and shall not create, or be interpreted as creating, any standard of care, duty or liability to any person not a Party hereto.  Nothing in this Agreement or any Credit Support Document shall be construed to create a partnership or joint venture between the Parties.</w:t>
      </w:r>
    </w:p>
    <w:p>
      <w:pPr>
        <w:pStyle w:val="Heading2"/>
        <w:ind w:hanging="720" w:start="720" w:end="0"/>
        <w:rPr/>
      </w:pPr>
      <w:r>
        <w:rPr/>
        <w:t>16.8</w:t>
        <w:tab/>
      </w:r>
      <w:r>
        <w:rPr>
          <w:b/>
          <w:u w:val="single"/>
        </w:rPr>
        <w:t>Counterparts</w:t>
      </w:r>
      <w:r>
        <w:fldChar w:fldCharType="begin"/>
      </w:r>
      <w:r>
        <w:rPr/>
        <w:instrText xml:space="preserve"> TC "16.8</w:instrText>
        <w:tab/>
        <w:instrText xml:space="preserve">Counterparts" \l 2 </w:instrText>
      </w:r>
      <w:r>
        <w:rPr/>
        <w:fldChar w:fldCharType="separate"/>
      </w:r>
      <w:r>
        <w:rPr/>
      </w:r>
      <w:r>
        <w:rPr/>
        <w:fldChar w:fldCharType="end"/>
      </w:r>
      <w:r>
        <w:rPr>
          <w:b/>
        </w:rPr>
        <w:t>.</w:t>
      </w:r>
      <w:r>
        <w:rPr/>
        <w:t xml:space="preserve">  This Agreement may be executed in several counterparts, each of which is an original and all of which constitute one and the same instrument.</w:t>
      </w:r>
    </w:p>
    <w:p>
      <w:pPr>
        <w:pStyle w:val="Heading2"/>
        <w:ind w:hanging="720" w:start="720" w:end="0"/>
        <w:rPr/>
      </w:pPr>
      <w:r>
        <w:rPr/>
        <w:t>16.9</w:t>
        <w:tab/>
      </w:r>
      <w:r>
        <w:rPr>
          <w:b/>
          <w:u w:val="single"/>
        </w:rPr>
        <w:t>Dispute Resolution</w:t>
      </w:r>
      <w:r>
        <w:fldChar w:fldCharType="begin"/>
      </w:r>
      <w:r>
        <w:rPr/>
        <w:instrText xml:space="preserve"> TC "16.9</w:instrText>
        <w:tab/>
        <w:instrText xml:space="preserve">Dispute Resolution" \l 2 </w:instrText>
      </w:r>
      <w:r>
        <w:rPr/>
        <w:fldChar w:fldCharType="separate"/>
      </w:r>
      <w:r>
        <w:rPr/>
      </w:r>
      <w:r>
        <w:rPr/>
        <w:fldChar w:fldCharType="end"/>
      </w:r>
      <w:r>
        <w:rPr>
          <w:b/>
        </w:rPr>
        <w:t>.</w:t>
      </w:r>
      <w:r>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that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alternating locations of Buyer and Seller commencing at Seller’s location.  Within thirty days of the notice of initiation of the arbitration procedure, each party shall select one arbitrator.  The two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ind w:hanging="0" w:start="0"/>
        <w:rPr/>
      </w:pPr>
      <w:r>
        <w:rPr/>
      </w:r>
    </w:p>
    <w:p>
      <w:pPr>
        <w:pStyle w:val="Heading2"/>
        <w:keepNext w:val="true"/>
        <w:keepLines/>
        <w:ind w:firstLine="720" w:start="0" w:end="0"/>
        <w:rPr/>
      </w:pPr>
      <w:r>
        <w:rPr/>
        <w:t>IN WITNESS WHEREOF, the Parties, by their respective duly authorized representatives, have executed this Agreement effective as of the Effective Date.  This Agreement shall not become effective as to either Party unless and until executed by both Parties.</w:t>
      </w:r>
    </w:p>
    <w:p>
      <w:pPr>
        <w:pStyle w:val="Normal"/>
        <w:keepNext w:val="true"/>
        <w:keepLines/>
        <w:tabs>
          <w:tab w:val="clear" w:pos="720"/>
          <w:tab w:val="left" w:pos="5760" w:leader="none"/>
          <w:tab w:val="left" w:pos="9180" w:leader="none"/>
        </w:tabs>
        <w:ind w:start="2880" w:end="0"/>
        <w:rPr>
          <w:b/>
        </w:rPr>
      </w:pPr>
      <w:r>
        <w:rPr>
          <w:b/>
        </w:rPr>
        <w:t>SELLER:</w:t>
      </w:r>
    </w:p>
    <w:p>
      <w:pPr>
        <w:pStyle w:val="Normal"/>
        <w:keepNext w:val="true"/>
        <w:keepLines/>
        <w:tabs>
          <w:tab w:val="clear" w:pos="720"/>
          <w:tab w:val="left" w:pos="5760" w:leader="none"/>
          <w:tab w:val="left" w:pos="9180" w:leader="none"/>
        </w:tabs>
        <w:ind w:start="2880" w:end="0"/>
        <w:rPr>
          <w:b/>
        </w:rPr>
      </w:pPr>
      <w:r>
        <w:rPr>
          <w:b/>
        </w:rPr>
      </w:r>
    </w:p>
    <w:p>
      <w:pPr>
        <w:pStyle w:val="Normal"/>
        <w:keepNext w:val="true"/>
        <w:keepLines/>
        <w:tabs>
          <w:tab w:val="clear" w:pos="720"/>
          <w:tab w:val="left" w:pos="5760" w:leader="none"/>
          <w:tab w:val="left" w:pos="9180" w:leader="none"/>
        </w:tabs>
        <w:ind w:start="2880" w:end="0"/>
        <w:rPr>
          <w:b/>
        </w:rPr>
      </w:pPr>
      <w:r>
        <w:rPr>
          <w:b/>
        </w:rPr>
        <w:t>ENRON POWER MARKETING, INC.</w:t>
      </w:r>
    </w:p>
    <w:p>
      <w:pPr>
        <w:pStyle w:val="Normal"/>
        <w:keepNext w:val="true"/>
        <w:keepLines/>
        <w:tabs>
          <w:tab w:val="clear" w:pos="720"/>
          <w:tab w:val="left" w:pos="4320" w:leader="none"/>
          <w:tab w:val="left" w:pos="9180" w:leader="none"/>
        </w:tabs>
        <w:ind w:start="4320" w:end="0"/>
        <w:rPr/>
      </w:pPr>
      <w:r>
        <w:rPr/>
      </w:r>
    </w:p>
    <w:p>
      <w:pPr>
        <w:pStyle w:val="Normal"/>
        <w:keepNext w:val="true"/>
        <w:keepLines/>
        <w:tabs>
          <w:tab w:val="clear" w:pos="720"/>
          <w:tab w:val="left" w:pos="1440" w:leader="none"/>
          <w:tab w:val="left" w:pos="9180" w:leader="none"/>
        </w:tabs>
        <w:spacing w:before="0" w:after="120"/>
        <w:ind w:start="2880" w:end="0"/>
        <w:rPr/>
      </w:pPr>
      <w:r>
        <w:rPr/>
        <w:t>By:</w:t>
      </w:r>
      <w:r>
        <w:rPr>
          <w:u w:val="single"/>
        </w:rPr>
        <w:tab/>
      </w:r>
    </w:p>
    <w:p>
      <w:pPr>
        <w:pStyle w:val="Normal"/>
        <w:keepNext w:val="true"/>
        <w:keepLines/>
        <w:tabs>
          <w:tab w:val="clear" w:pos="720"/>
          <w:tab w:val="left" w:pos="1440" w:leader="none"/>
          <w:tab w:val="left" w:pos="9180" w:leader="none"/>
        </w:tabs>
        <w:spacing w:before="0" w:after="120"/>
        <w:ind w:start="2880" w:end="0"/>
        <w:rPr/>
      </w:pPr>
      <w:r>
        <w:rPr/>
        <w:t>Name:</w:t>
      </w:r>
      <w:r>
        <w:rPr>
          <w:u w:val="single"/>
        </w:rPr>
        <w:tab/>
      </w:r>
    </w:p>
    <w:p>
      <w:pPr>
        <w:pStyle w:val="Normal"/>
        <w:keepNext w:val="true"/>
        <w:keepLines/>
        <w:tabs>
          <w:tab w:val="clear" w:pos="720"/>
          <w:tab w:val="left" w:pos="1440" w:leader="none"/>
          <w:tab w:val="left" w:pos="9180" w:leader="none"/>
        </w:tabs>
        <w:spacing w:before="0" w:after="120"/>
        <w:ind w:start="2880" w:end="0"/>
        <w:rPr/>
      </w:pPr>
      <w:r>
        <w:rPr/>
        <w:t>Title:</w:t>
      </w:r>
      <w:r>
        <w:rPr>
          <w:u w:val="single"/>
        </w:rPr>
        <w:tab/>
      </w:r>
    </w:p>
    <w:p>
      <w:pPr>
        <w:pStyle w:val="Normal"/>
        <w:keepNext w:val="true"/>
        <w:keepLines/>
        <w:tabs>
          <w:tab w:val="clear" w:pos="720"/>
          <w:tab w:val="left" w:pos="1440" w:leader="none"/>
          <w:tab w:val="left" w:pos="9180" w:leader="none"/>
          <w:tab w:val="right" w:pos="9360" w:leader="none"/>
        </w:tabs>
        <w:ind w:start="2880" w:end="0"/>
        <w:rPr>
          <w:u w:val="single"/>
        </w:rPr>
      </w:pPr>
      <w:r>
        <w:rPr>
          <w:u w:val="single"/>
        </w:rPr>
      </w:r>
    </w:p>
    <w:p>
      <w:pPr>
        <w:pStyle w:val="Normal"/>
        <w:keepNext w:val="true"/>
        <w:keepLines/>
        <w:tabs>
          <w:tab w:val="clear" w:pos="720"/>
          <w:tab w:val="left" w:pos="1440" w:leader="none"/>
          <w:tab w:val="left" w:pos="9180" w:leader="none"/>
        </w:tabs>
        <w:ind w:start="2880" w:end="0"/>
        <w:rPr>
          <w:b/>
        </w:rPr>
      </w:pPr>
      <w:r>
        <w:rPr>
          <w:b/>
        </w:rPr>
        <w:t>MERRILL LYNCH CAPITAL SERVICES, INC.</w:t>
      </w:r>
    </w:p>
    <w:p>
      <w:pPr>
        <w:pStyle w:val="Normal"/>
        <w:keepNext w:val="true"/>
        <w:keepLines/>
        <w:tabs>
          <w:tab w:val="clear" w:pos="720"/>
          <w:tab w:val="left" w:pos="1440" w:leader="none"/>
          <w:tab w:val="left" w:pos="9180" w:leader="none"/>
        </w:tabs>
        <w:ind w:start="2880" w:end="0"/>
        <w:rPr>
          <w:b/>
        </w:rPr>
      </w:pPr>
      <w:r>
        <w:rPr>
          <w:b/>
        </w:rPr>
      </w:r>
    </w:p>
    <w:p>
      <w:pPr>
        <w:pStyle w:val="Normal"/>
        <w:keepNext w:val="true"/>
        <w:keepLines/>
        <w:tabs>
          <w:tab w:val="clear" w:pos="720"/>
          <w:tab w:val="left" w:pos="1440" w:leader="none"/>
          <w:tab w:val="left" w:pos="9180" w:leader="none"/>
        </w:tabs>
        <w:spacing w:before="0" w:after="120"/>
        <w:ind w:start="2880" w:end="0"/>
        <w:rPr/>
      </w:pPr>
      <w:r>
        <w:rPr/>
        <w:t>By:</w:t>
      </w:r>
      <w:r>
        <w:rPr>
          <w:u w:val="single"/>
        </w:rPr>
        <w:tab/>
      </w:r>
    </w:p>
    <w:p>
      <w:pPr>
        <w:pStyle w:val="Normal"/>
        <w:keepNext w:val="true"/>
        <w:keepLines/>
        <w:tabs>
          <w:tab w:val="clear" w:pos="720"/>
          <w:tab w:val="left" w:pos="1440" w:leader="none"/>
          <w:tab w:val="left" w:pos="9180" w:leader="none"/>
        </w:tabs>
        <w:spacing w:before="0" w:after="120"/>
        <w:ind w:start="2880" w:end="0"/>
        <w:rPr/>
      </w:pPr>
      <w:r>
        <w:rPr/>
        <w:t>Name:</w:t>
      </w:r>
      <w:r>
        <w:rPr>
          <w:u w:val="single"/>
        </w:rPr>
        <w:tab/>
      </w:r>
    </w:p>
    <w:p>
      <w:pPr>
        <w:pStyle w:val="Normal"/>
        <w:keepNext w:val="true"/>
        <w:keepLines/>
        <w:tabs>
          <w:tab w:val="clear" w:pos="720"/>
          <w:tab w:val="left" w:pos="1440" w:leader="none"/>
          <w:tab w:val="left" w:pos="9180" w:leader="none"/>
        </w:tabs>
        <w:spacing w:before="0" w:after="120"/>
        <w:ind w:start="2880" w:end="0"/>
        <w:rPr/>
      </w:pPr>
      <w:r>
        <w:rPr/>
        <w:t>Title:</w:t>
      </w:r>
      <w:r>
        <w:rPr>
          <w:u w:val="single"/>
        </w:rPr>
        <w:tab/>
      </w:r>
    </w:p>
    <w:p>
      <w:pPr>
        <w:pStyle w:val="Normal"/>
        <w:keepNext w:val="true"/>
        <w:keepLines/>
        <w:tabs>
          <w:tab w:val="clear" w:pos="720"/>
          <w:tab w:val="left" w:pos="1440" w:leader="none"/>
          <w:tab w:val="left" w:pos="9180" w:leader="none"/>
        </w:tabs>
        <w:spacing w:before="0" w:after="120"/>
        <w:ind w:start="2880" w:end="0"/>
        <w:rPr>
          <w:u w:val="single"/>
        </w:rPr>
      </w:pPr>
      <w:r>
        <w:rPr>
          <w:u w:val="single"/>
        </w:rPr>
      </w:r>
    </w:p>
    <w:p>
      <w:pPr>
        <w:sectPr>
          <w:headerReference w:type="default" r:id="rId3"/>
          <w:headerReference w:type="first" r:id="rId4"/>
          <w:footerReference w:type="default" r:id="rId5"/>
          <w:footerReference w:type="first" r:id="rId6"/>
          <w:type w:val="nextPage"/>
          <w:pgSz w:w="12240" w:h="15840"/>
          <w:pgMar w:left="1008" w:right="1008" w:gutter="0" w:header="720" w:top="1008" w:footer="720" w:bottom="1008"/>
          <w:pgNumType w:start="1" w:fmt="decimal"/>
          <w:formProt w:val="false"/>
          <w:titlePg/>
          <w:textDirection w:val="lrTb"/>
          <w:docGrid w:type="default" w:linePitch="360" w:charSpace="0"/>
        </w:sectPr>
        <w:pStyle w:val="Normal"/>
        <w:rPr>
          <w:u w:val="single"/>
        </w:rPr>
      </w:pPr>
      <w:r>
        <w:rPr>
          <w:u w:val="single"/>
        </w:rPr>
      </w:r>
    </w:p>
    <w:p>
      <w:pPr>
        <w:pStyle w:val="Normal"/>
        <w:jc w:val="center"/>
        <w:rPr>
          <w:b/>
        </w:rPr>
      </w:pPr>
      <w:r>
        <w:rPr>
          <w:b/>
        </w:rPr>
        <w:t>EXHIBIT “A”</w:t>
      </w:r>
    </w:p>
    <w:p>
      <w:pPr>
        <w:pStyle w:val="Normal"/>
        <w:jc w:val="center"/>
        <w:rPr>
          <w:b/>
        </w:rPr>
      </w:pPr>
      <w:r>
        <w:rPr>
          <w:b/>
        </w:rPr>
        <w:t xml:space="preserve">to the </w:t>
      </w:r>
    </w:p>
    <w:p>
      <w:pPr>
        <w:pStyle w:val="Normal"/>
        <w:jc w:val="center"/>
        <w:rPr>
          <w:b/>
        </w:rPr>
      </w:pPr>
      <w:r>
        <w:rPr>
          <w:b/>
        </w:rPr>
        <w:t>Power Purchase &amp; Sale Agreement</w:t>
      </w:r>
    </w:p>
    <w:p>
      <w:pPr>
        <w:pStyle w:val="Normal"/>
        <w:jc w:val="center"/>
        <w:rPr>
          <w:b/>
        </w:rPr>
      </w:pPr>
      <w:r>
        <w:rPr>
          <w:b/>
        </w:rPr>
      </w:r>
    </w:p>
    <w:p>
      <w:pPr>
        <w:pStyle w:val="Normal"/>
        <w:jc w:val="center"/>
        <w:rPr>
          <w:b/>
        </w:rPr>
      </w:pPr>
      <w:r>
        <w:rPr>
          <w:b/>
        </w:rPr>
      </w:r>
    </w:p>
    <w:p>
      <w:pPr>
        <w:pStyle w:val="Heading1"/>
        <w:spacing w:before="0" w:after="0"/>
        <w:ind w:hanging="0" w:start="0"/>
        <w:rPr>
          <w:caps w:val="false"/>
          <w:smallCaps w:val="false"/>
          <w:u w:val="single"/>
        </w:rPr>
      </w:pPr>
      <w:r>
        <w:rPr>
          <w:caps w:val="false"/>
          <w:smallCaps w:val="false"/>
          <w:u w:val="single"/>
        </w:rPr>
        <w:t>ENERGY CHARGE</w:t>
      </w:r>
    </w:p>
    <w:p>
      <w:pPr>
        <w:pStyle w:val="Normal"/>
        <w:jc w:val="start"/>
        <w:rPr>
          <w:b/>
          <w:caps/>
          <w:u w:val="single"/>
        </w:rPr>
      </w:pPr>
      <w:r>
        <w:rPr>
          <w:b/>
          <w:caps/>
          <w:u w:val="single"/>
        </w:rPr>
      </w:r>
    </w:p>
    <w:p>
      <w:pPr>
        <w:pStyle w:val="Normal"/>
        <w:jc w:val="start"/>
        <w:rPr>
          <w:b/>
        </w:rPr>
      </w:pPr>
      <w:r>
        <w:rPr>
          <w:b/>
        </w:rPr>
      </w:r>
    </w:p>
    <w:p>
      <w:pPr>
        <w:pStyle w:val="para"/>
        <w:rPr/>
      </w:pPr>
      <w:r>
        <w:rPr/>
        <w:t>The Energy Charge shall be equal to the sum of the Daily Energy Charges at each of the Delivery Points calculated for each Day of the applicable Month.  The Daily Energy Charges shall be calculated as follows:</w:t>
      </w:r>
    </w:p>
    <w:p>
      <w:pPr>
        <w:pStyle w:val="Normal"/>
        <w:jc w:val="start"/>
        <w:rPr/>
      </w:pPr>
      <w:r>
        <w:rPr/>
      </w:r>
    </w:p>
    <w:p>
      <w:pPr>
        <w:pStyle w:val="Normal"/>
        <w:jc w:val="start"/>
        <w:rPr>
          <w:u w:val="single"/>
        </w:rPr>
      </w:pPr>
      <w:r>
        <w:rPr>
          <w:u w:val="single"/>
        </w:rPr>
        <w:t>Daily Energy Charge during the Summer Season</w:t>
      </w:r>
    </w:p>
    <w:p>
      <w:pPr>
        <w:pStyle w:val="Normal"/>
        <w:jc w:val="start"/>
        <w:rPr>
          <w:u w:val="single"/>
        </w:rPr>
      </w:pPr>
      <w:r>
        <w:rPr>
          <w:u w:val="single"/>
        </w:rPr>
      </w:r>
    </w:p>
    <w:p>
      <w:pPr>
        <w:pStyle w:val="Normal"/>
        <w:jc w:val="start"/>
        <w:rPr/>
      </w:pPr>
      <w:r>
        <w:rPr/>
        <w:t>Energy Delivered at the Gleason Delivery Point x [(11.5 MMBtu/MWh x Gleason Summer Gas Index) + $2.50/MWh]</w:t>
      </w:r>
    </w:p>
    <w:p>
      <w:pPr>
        <w:pStyle w:val="Normal"/>
        <w:jc w:val="start"/>
        <w:rPr/>
      </w:pPr>
      <w:r>
        <w:rPr/>
        <w:t>Energy Delivered at the Lincoln Delivery Point x [(11.5 MMBtu/MWh x Lincoln Summer Gas Index) + $2.50/MWh]</w:t>
      </w:r>
    </w:p>
    <w:p>
      <w:pPr>
        <w:pStyle w:val="Normal"/>
        <w:jc w:val="start"/>
        <w:rPr/>
      </w:pPr>
      <w:r>
        <w:rPr/>
        <w:t>Energy Delivered at the Wheatland Delivery Point x [(11.5 MMBtu/MWh x Wheatland Summer Gas Index) + $2.50/MWh]</w:t>
      </w:r>
    </w:p>
    <w:p>
      <w:pPr>
        <w:pStyle w:val="Normal"/>
        <w:jc w:val="start"/>
        <w:rPr/>
      </w:pPr>
      <w:r>
        <w:rPr/>
      </w:r>
    </w:p>
    <w:p>
      <w:pPr>
        <w:pStyle w:val="Normal"/>
        <w:jc w:val="start"/>
        <w:rPr>
          <w:u w:val="single"/>
        </w:rPr>
      </w:pPr>
      <w:r>
        <w:rPr>
          <w:u w:val="single"/>
        </w:rPr>
        <w:t>Daily Energy Charge during the Non-Summer Season</w:t>
      </w:r>
    </w:p>
    <w:p>
      <w:pPr>
        <w:pStyle w:val="Normal"/>
        <w:jc w:val="start"/>
        <w:rPr>
          <w:u w:val="single"/>
        </w:rPr>
      </w:pPr>
      <w:r>
        <w:rPr>
          <w:u w:val="single"/>
        </w:rPr>
      </w:r>
    </w:p>
    <w:p>
      <w:pPr>
        <w:pStyle w:val="Normal"/>
        <w:jc w:val="start"/>
        <w:rPr/>
      </w:pPr>
      <w:r>
        <w:rPr/>
        <w:t>Energy Delivered at the Gleason Delivery Point x [(11.5 MMBtu/MWh x Gleason Non-Summer Gas Index) + $2.50/MWh]</w:t>
      </w:r>
    </w:p>
    <w:p>
      <w:pPr>
        <w:pStyle w:val="Normal"/>
        <w:jc w:val="start"/>
        <w:rPr/>
      </w:pPr>
      <w:r>
        <w:rPr/>
        <w:t>Energy Delivered at the Lincoln Delivery Point x [(11.5 MMBtu/MWh x Lincoln Non-Summer Gas Index) + $2.50/MWh]</w:t>
      </w:r>
    </w:p>
    <w:p>
      <w:pPr>
        <w:pStyle w:val="Normal"/>
        <w:jc w:val="start"/>
        <w:rPr/>
      </w:pPr>
      <w:r>
        <w:rPr/>
        <w:t>Energy Delivered at the Wheatland Delivery Point x [(11.5 MMBtu/MWh x Wheatland Non-Summer Gas Index) + $2.50/MWh]</w:t>
      </w:r>
    </w:p>
    <w:p>
      <w:pPr>
        <w:pStyle w:val="Normal"/>
        <w:jc w:val="start"/>
        <w:rPr/>
      </w:pPr>
      <w:r>
        <w:rPr/>
      </w:r>
    </w:p>
    <w:p>
      <w:pPr>
        <w:pStyle w:val="Normal"/>
        <w:jc w:val="start"/>
        <w:rPr/>
      </w:pPr>
      <w:r>
        <w:rPr/>
        <w:t>Energy Delivered = The amount of Energy (in MWh) delivered by Seller to Buyer at each Delivery Point on the applicable Day</w:t>
      </w:r>
    </w:p>
    <w:p>
      <w:pPr>
        <w:pStyle w:val="Normal"/>
        <w:jc w:val="start"/>
        <w:rPr/>
      </w:pPr>
      <w:r>
        <w:rPr/>
      </w:r>
    </w:p>
    <w:p>
      <w:pPr>
        <w:pStyle w:val="Normal"/>
        <w:jc w:val="start"/>
        <w:rPr/>
      </w:pPr>
      <w:r>
        <w:rPr/>
        <w:t>Gleason Summer Gas Index = ANR SE + $0.15</w:t>
      </w:r>
    </w:p>
    <w:p>
      <w:pPr>
        <w:pStyle w:val="Normal"/>
        <w:jc w:val="start"/>
        <w:rPr/>
      </w:pPr>
      <w:r>
        <w:rPr/>
        <w:t>Gleason Non-Summer Gas Index = Columbia Gas Appalachia + $0.25</w:t>
      </w:r>
    </w:p>
    <w:p>
      <w:pPr>
        <w:pStyle w:val="Normal"/>
        <w:jc w:val="start"/>
        <w:rPr/>
      </w:pPr>
      <w:r>
        <w:rPr/>
      </w:r>
    </w:p>
    <w:p>
      <w:pPr>
        <w:pStyle w:val="Normal"/>
        <w:jc w:val="start"/>
        <w:rPr/>
      </w:pPr>
      <w:r>
        <w:rPr/>
        <w:t>Lincoln Summer Gas Index = Chicago City Gate Gas Daily +$0.10</w:t>
      </w:r>
    </w:p>
    <w:p>
      <w:pPr>
        <w:pStyle w:val="Normal"/>
        <w:jc w:val="start"/>
        <w:rPr/>
      </w:pPr>
      <w:r>
        <w:rPr/>
        <w:t>Lincoln Non-Summer Gas Index = Chicago City Gate Gas Daily +$0.25</w:t>
      </w:r>
    </w:p>
    <w:p>
      <w:pPr>
        <w:pStyle w:val="Normal"/>
        <w:jc w:val="start"/>
        <w:rPr/>
      </w:pPr>
      <w:r>
        <w:rPr/>
      </w:r>
    </w:p>
    <w:p>
      <w:pPr>
        <w:pStyle w:val="Normal"/>
        <w:jc w:val="start"/>
        <w:rPr/>
      </w:pPr>
      <w:r>
        <w:rPr/>
        <w:t>Wheatland Summer Gas Index = Tennessee 500 Leg + $0.25</w:t>
      </w:r>
    </w:p>
    <w:p>
      <w:pPr>
        <w:pStyle w:val="Normal"/>
        <w:jc w:val="start"/>
        <w:rPr/>
      </w:pPr>
      <w:r>
        <w:rPr/>
        <w:t>Wheatland Non-Summer Gas Index = Chicago City Gate Gas Daily + $0.25</w:t>
      </w:r>
    </w:p>
    <w:p>
      <w:pPr>
        <w:pStyle w:val="Normal"/>
        <w:jc w:val="start"/>
        <w:rPr/>
      </w:pPr>
      <w:r>
        <w:rPr/>
      </w:r>
    </w:p>
    <w:p>
      <w:pPr>
        <w:pStyle w:val="Normal"/>
        <w:jc w:val="center"/>
        <w:rPr>
          <w:b/>
        </w:rPr>
      </w:pPr>
      <w:r>
        <w:rPr>
          <w:b/>
        </w:rPr>
      </w:r>
    </w:p>
    <w:p>
      <w:pPr>
        <w:pStyle w:val="Normal"/>
        <w:jc w:val="center"/>
        <w:rPr>
          <w:b/>
        </w:rPr>
      </w:pPr>
      <w:r>
        <w:rPr>
          <w:b/>
        </w:rPr>
      </w:r>
    </w:p>
    <w:p>
      <w:pPr>
        <w:pStyle w:val="Normal"/>
        <w:jc w:val="center"/>
        <w:rPr>
          <w:b/>
        </w:rPr>
      </w:pPr>
      <w:r>
        <w:rPr>
          <w:b/>
        </w:rPr>
      </w:r>
      <w:r>
        <w:br w:type="page"/>
      </w:r>
    </w:p>
    <w:p>
      <w:pPr>
        <w:pStyle w:val="Normal"/>
        <w:jc w:val="center"/>
        <w:rPr>
          <w:b/>
        </w:rPr>
      </w:pPr>
      <w:r>
        <w:rPr>
          <w:b/>
        </w:rPr>
        <w:t>EXHIBIT ___</w:t>
      </w:r>
    </w:p>
    <w:p>
      <w:pPr>
        <w:pStyle w:val="Normal"/>
        <w:jc w:val="center"/>
        <w:rPr>
          <w:b/>
        </w:rPr>
      </w:pPr>
      <w:r>
        <w:rPr>
          <w:b/>
        </w:rPr>
        <w:t>Contract Quantity</w:t>
      </w:r>
    </w:p>
    <w:p>
      <w:pPr>
        <w:pStyle w:val="Normal"/>
        <w:jc w:val="start"/>
        <w:rPr>
          <w:b/>
        </w:rPr>
      </w:pPr>
      <w:r>
        <w:rPr>
          <w:b/>
        </w:rPr>
      </w:r>
    </w:p>
    <w:p>
      <w:pPr>
        <w:pStyle w:val="BodyText3"/>
        <w:rPr/>
      </w:pPr>
      <w:r>
        <w:rPr/>
        <w:t>Seller shall sell and deliver, and Buyer shall purchase and receive, or cause to be received, an amount of Energy up to an hourly cap for each Delivery Point as set forth below for each hour Scheduled by Buyer and delivered by Seller (the Contract Quantity”):</w:t>
      </w:r>
    </w:p>
    <w:p>
      <w:pPr>
        <w:pStyle w:val="Normal"/>
        <w:jc w:val="start"/>
        <w:rPr>
          <w:b/>
        </w:rPr>
      </w:pPr>
      <w:r>
        <w:rPr>
          <w:b/>
        </w:rPr>
      </w:r>
    </w:p>
    <w:p>
      <w:pPr>
        <w:pStyle w:val="Normal"/>
        <w:jc w:val="start"/>
        <w:rPr>
          <w:b/>
        </w:rPr>
      </w:pPr>
      <w:r>
        <w:rPr>
          <w:b/>
        </w:rPr>
      </w:r>
    </w:p>
    <w:tbl>
      <w:tblPr>
        <w:tblW w:w="10519" w:type="dxa"/>
        <w:jc w:val="start"/>
        <w:tblInd w:w="0" w:type="dxa"/>
        <w:tblLayout w:type="fixed"/>
        <w:tblCellMar>
          <w:top w:w="0" w:type="dxa"/>
          <w:start w:w="30" w:type="dxa"/>
          <w:bottom w:w="0" w:type="dxa"/>
          <w:end w:w="30" w:type="dxa"/>
        </w:tblCellMar>
      </w:tblPr>
      <w:tblGrid>
        <w:gridCol w:w="1766"/>
        <w:gridCol w:w="1215"/>
        <w:gridCol w:w="962"/>
        <w:gridCol w:w="1056"/>
        <w:gridCol w:w="569"/>
        <w:gridCol w:w="1562"/>
        <w:gridCol w:w="1277"/>
        <w:gridCol w:w="1056"/>
        <w:gridCol w:w="1056"/>
      </w:tblGrid>
      <w:tr>
        <w:trPr>
          <w:trHeight w:val="247" w:hRule="atLeast"/>
        </w:trPr>
        <w:tc>
          <w:tcPr>
            <w:tcW w:w="176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15"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Wheatland</w:t>
            </w:r>
          </w:p>
        </w:tc>
        <w:tc>
          <w:tcPr>
            <w:tcW w:w="962"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Lincoln</w:t>
            </w:r>
          </w:p>
        </w:tc>
        <w:tc>
          <w:tcPr>
            <w:tcW w:w="1056" w:type="dxa"/>
            <w:tcBorders>
              <w:top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Gleason</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77"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Wheatland</w:t>
            </w:r>
          </w:p>
        </w:tc>
        <w:tc>
          <w:tcPr>
            <w:tcW w:w="1056"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Lincoln</w:t>
            </w:r>
          </w:p>
        </w:tc>
        <w:tc>
          <w:tcPr>
            <w:tcW w:w="1056" w:type="dxa"/>
            <w:tcBorders>
              <w:top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Gleason</w:t>
            </w:r>
          </w:p>
        </w:tc>
      </w:tr>
      <w:tr>
        <w:trPr>
          <w:trHeight w:val="247" w:hRule="atLeast"/>
        </w:trPr>
        <w:tc>
          <w:tcPr>
            <w:tcW w:w="176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15" w:type="dxa"/>
            <w:tcBorders>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Delivery</w:t>
            </w:r>
          </w:p>
        </w:tc>
        <w:tc>
          <w:tcPr>
            <w:tcW w:w="962" w:type="dxa"/>
            <w:tcBorders>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Delivery</w:t>
            </w:r>
          </w:p>
        </w:tc>
        <w:tc>
          <w:tcPr>
            <w:tcW w:w="1056" w:type="dxa"/>
            <w:tcBorders>
              <w:end w:val="single" w:sz="6" w:space="0" w:color="000000"/>
            </w:tcBorders>
          </w:tcPr>
          <w:p>
            <w:pPr>
              <w:pStyle w:val="Normal"/>
              <w:rPr>
                <w:rFonts w:ascii="Arial" w:hAnsi="Arial" w:cs="Arial"/>
                <w:color w:val="000000"/>
                <w:lang w:eastAsia="en-US"/>
              </w:rPr>
            </w:pPr>
            <w:r>
              <w:rPr>
                <w:rFonts w:cs="Arial" w:ascii="Arial" w:hAnsi="Arial"/>
                <w:color w:val="000000"/>
                <w:lang w:eastAsia="en-US"/>
              </w:rPr>
              <w:t>Delivery</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77" w:type="dxa"/>
            <w:tcBorders>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Delivery</w:t>
            </w:r>
          </w:p>
        </w:tc>
        <w:tc>
          <w:tcPr>
            <w:tcW w:w="1056" w:type="dxa"/>
            <w:tcBorders>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Delivery</w:t>
            </w:r>
          </w:p>
        </w:tc>
        <w:tc>
          <w:tcPr>
            <w:tcW w:w="1056" w:type="dxa"/>
            <w:tcBorders>
              <w:end w:val="single" w:sz="6" w:space="0" w:color="000000"/>
            </w:tcBorders>
          </w:tcPr>
          <w:p>
            <w:pPr>
              <w:pStyle w:val="Normal"/>
              <w:rPr>
                <w:rFonts w:ascii="Arial" w:hAnsi="Arial" w:cs="Arial"/>
                <w:color w:val="000000"/>
                <w:lang w:eastAsia="en-US"/>
              </w:rPr>
            </w:pPr>
            <w:r>
              <w:rPr>
                <w:rFonts w:cs="Arial" w:ascii="Arial" w:hAnsi="Arial"/>
                <w:color w:val="000000"/>
                <w:lang w:eastAsia="en-US"/>
              </w:rPr>
              <w:t>Delivery</w:t>
            </w:r>
          </w:p>
        </w:tc>
      </w:tr>
      <w:tr>
        <w:trPr>
          <w:trHeight w:val="247" w:hRule="atLeast"/>
        </w:trPr>
        <w:tc>
          <w:tcPr>
            <w:tcW w:w="176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15" w:type="dxa"/>
            <w:tcBorders>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Point</w:t>
            </w:r>
          </w:p>
        </w:tc>
        <w:tc>
          <w:tcPr>
            <w:tcW w:w="962" w:type="dxa"/>
            <w:tcBorders>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Point</w:t>
            </w:r>
          </w:p>
        </w:tc>
        <w:tc>
          <w:tcPr>
            <w:tcW w:w="1056" w:type="dxa"/>
            <w:tcBorders>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Point</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77" w:type="dxa"/>
            <w:tcBorders>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Point</w:t>
            </w:r>
          </w:p>
        </w:tc>
        <w:tc>
          <w:tcPr>
            <w:tcW w:w="1056" w:type="dxa"/>
            <w:tcBorders>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Point</w:t>
            </w:r>
          </w:p>
        </w:tc>
        <w:tc>
          <w:tcPr>
            <w:tcW w:w="1056" w:type="dxa"/>
            <w:tcBorders>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Point</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September-00</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January-03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October-00</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February-03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November-00</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March-03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December-00</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April-03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January-01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May-03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February-01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June-03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March-01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July-03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April-01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August-03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May-01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September-03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June-01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October-03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July-01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November-03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August-01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December-03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September-01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January-04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October-01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February-04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November-01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March-04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December-01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April-04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January-02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May-04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February-02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June-04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March-02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April-02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May-02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June-02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July-02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August-02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September-02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October-02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November-02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December-02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77"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sectPr>
          <w:headerReference w:type="default" r:id="rId7"/>
          <w:headerReference w:type="first" r:id="rId8"/>
          <w:footerReference w:type="default" r:id="rId9"/>
          <w:footerReference w:type="first" r:id="rId10"/>
          <w:type w:val="nextPage"/>
          <w:pgSz w:w="12240" w:h="15840"/>
          <w:pgMar w:left="1008" w:right="1008" w:gutter="0" w:header="720" w:top="1008" w:footer="720" w:bottom="1008"/>
          <w:pgNumType w:start="1" w:fmt="decimal"/>
          <w:formProt w:val="false"/>
          <w:textDirection w:val="lrTb"/>
          <w:docGrid w:type="default" w:linePitch="360" w:charSpace="0"/>
        </w:sectPr>
      </w:pPr>
    </w:p>
    <w:p>
      <w:pPr>
        <w:pStyle w:val="Normal"/>
        <w:jc w:val="center"/>
        <w:rPr>
          <w:b/>
        </w:rPr>
      </w:pPr>
      <w:r>
        <w:rPr>
          <w:b/>
        </w:rPr>
      </w:r>
    </w:p>
    <w:p>
      <w:pPr>
        <w:pStyle w:val="Normal"/>
        <w:jc w:val="center"/>
        <w:rPr>
          <w:b/>
        </w:rPr>
      </w:pPr>
      <w:r>
        <w:rPr>
          <w:b/>
        </w:rPr>
        <w:t>EXHIBIT “B”</w:t>
      </w:r>
    </w:p>
    <w:p>
      <w:pPr>
        <w:pStyle w:val="Normal"/>
        <w:jc w:val="center"/>
        <w:rPr>
          <w:b/>
        </w:rPr>
      </w:pPr>
      <w:r>
        <w:rPr>
          <w:b/>
        </w:rPr>
        <w:t>to the</w:t>
      </w:r>
    </w:p>
    <w:p>
      <w:pPr>
        <w:pStyle w:val="Normal"/>
        <w:jc w:val="center"/>
        <w:rPr>
          <w:b/>
        </w:rPr>
      </w:pPr>
      <w:r>
        <w:rPr>
          <w:b/>
        </w:rPr>
        <w:t>Power Purchase and Sale Agreement</w:t>
      </w:r>
    </w:p>
    <w:p>
      <w:pPr>
        <w:pStyle w:val="Normal"/>
        <w:jc w:val="center"/>
        <w:rPr>
          <w:b/>
        </w:rPr>
      </w:pPr>
      <w:r>
        <w:rPr>
          <w:b/>
        </w:rPr>
      </w:r>
    </w:p>
    <w:p>
      <w:pPr>
        <w:pStyle w:val="Normal"/>
        <w:jc w:val="center"/>
        <w:rPr>
          <w:u w:val="single"/>
        </w:rPr>
      </w:pPr>
      <w:r>
        <w:rPr>
          <w:b/>
          <w:u w:val="single"/>
        </w:rPr>
        <w:t>NOTICES</w:t>
      </w:r>
    </w:p>
    <w:p>
      <w:pPr>
        <w:pStyle w:val="Normal"/>
        <w:jc w:val="center"/>
        <w:rPr>
          <w:u w:val="single"/>
        </w:rPr>
      </w:pPr>
      <w:r>
        <w:rPr>
          <w:u w:val="single"/>
        </w:rPr>
      </w:r>
    </w:p>
    <w:p>
      <w:pPr>
        <w:pStyle w:val="Normal"/>
        <w:jc w:val="center"/>
        <w:rPr/>
      </w:pPr>
      <w:r>
        <w:rPr/>
      </w:r>
    </w:p>
    <w:p>
      <w:pPr>
        <w:pStyle w:val="Normal"/>
        <w:rPr/>
      </w:pPr>
      <w:r>
        <w:rPr/>
        <w:t>NOTICES AND PAYMENT</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snapToGrid w:val="false"/>
              <w:rPr>
                <w:smallCaps/>
              </w:rPr>
            </w:pPr>
            <w:r>
              <w:rPr>
                <w:smallCaps/>
              </w:rPr>
            </w:r>
          </w:p>
          <w:p>
            <w:pPr>
              <w:pStyle w:val="Normal"/>
              <w:rPr/>
            </w:pPr>
            <w:r>
              <w:rPr>
                <w:b/>
                <w:smallCaps/>
                <w:u w:val="single"/>
              </w:rPr>
              <w:t>SELLER</w:t>
            </w:r>
            <w:r>
              <w:rPr>
                <w:b/>
                <w:smallCaps/>
              </w:rPr>
              <w:t>:</w:t>
            </w:r>
          </w:p>
        </w:tc>
        <w:tc>
          <w:tcPr>
            <w:tcW w:w="4320" w:type="dxa"/>
            <w:tcBorders/>
          </w:tcPr>
          <w:p>
            <w:pPr>
              <w:pStyle w:val="Normal"/>
              <w:snapToGrid w:val="false"/>
              <w:rPr/>
            </w:pPr>
            <w:r>
              <w:rPr/>
            </w:r>
          </w:p>
        </w:tc>
      </w:tr>
      <w:tr>
        <w:trPr/>
        <w:tc>
          <w:tcPr>
            <w:tcW w:w="5148" w:type="dxa"/>
            <w:tcBorders/>
          </w:tcPr>
          <w:p>
            <w:pPr>
              <w:pStyle w:val="Normal"/>
              <w:snapToGrid w:val="false"/>
              <w:rPr/>
            </w:pPr>
            <w:r>
              <w:rPr/>
            </w:r>
          </w:p>
        </w:tc>
        <w:tc>
          <w:tcPr>
            <w:tcW w:w="4320" w:type="dxa"/>
            <w:tcBorders/>
          </w:tcPr>
          <w:p>
            <w:pPr>
              <w:pStyle w:val="Normal"/>
              <w:snapToGrid w:val="false"/>
              <w:rPr/>
            </w:pPr>
            <w:r>
              <w:rPr/>
            </w:r>
          </w:p>
        </w:tc>
      </w:tr>
      <w:tr>
        <w:trPr/>
        <w:tc>
          <w:tcPr>
            <w:tcW w:w="5148" w:type="dxa"/>
            <w:tcBorders/>
          </w:tcPr>
          <w:p>
            <w:pPr>
              <w:pStyle w:val="Normal"/>
              <w:rPr>
                <w:u w:val="single"/>
              </w:rPr>
            </w:pPr>
            <w:r>
              <w:rPr>
                <w:u w:val="single"/>
              </w:rPr>
              <w:t>NOTICES &amp; CORRESPONDENCE:</w:t>
            </w:r>
          </w:p>
        </w:tc>
        <w:tc>
          <w:tcPr>
            <w:tcW w:w="4320" w:type="dxa"/>
            <w:tcBorders/>
          </w:tcPr>
          <w:p>
            <w:pPr>
              <w:pStyle w:val="Normal"/>
              <w:rPr>
                <w:u w:val="single"/>
              </w:rPr>
            </w:pPr>
            <w:r>
              <w:rPr>
                <w:u w:val="single"/>
              </w:rPr>
              <w:t>PAYMENTS:</w:t>
            </w:r>
          </w:p>
        </w:tc>
      </w:tr>
      <w:tr>
        <w:trPr/>
        <w:tc>
          <w:tcPr>
            <w:tcW w:w="5148" w:type="dxa"/>
            <w:tcBorders/>
          </w:tcPr>
          <w:p>
            <w:pPr>
              <w:pStyle w:val="Normal"/>
              <w:snapToGrid w:val="false"/>
              <w:rPr>
                <w:u w:val="single"/>
              </w:rPr>
            </w:pPr>
            <w:r>
              <w:rPr>
                <w:u w:val="single"/>
              </w:rPr>
            </w:r>
          </w:p>
        </w:tc>
        <w:tc>
          <w:tcPr>
            <w:tcW w:w="4320" w:type="dxa"/>
            <w:tcBorders/>
          </w:tcPr>
          <w:p>
            <w:pPr>
              <w:pStyle w:val="Normal"/>
              <w:rPr/>
            </w:pPr>
            <w:r>
              <w:rPr/>
              <w:t>NationsBank of Texas – Dallas</w:t>
            </w:r>
          </w:p>
        </w:tc>
      </w:tr>
      <w:tr>
        <w:trPr/>
        <w:tc>
          <w:tcPr>
            <w:tcW w:w="5148" w:type="dxa"/>
            <w:tcBorders/>
          </w:tcPr>
          <w:p>
            <w:pPr>
              <w:pStyle w:val="Normal"/>
              <w:rPr/>
            </w:pPr>
            <w:r>
              <w:rPr/>
              <w:t>c/o Enron Power Marketing, Inc.</w:t>
            </w:r>
          </w:p>
          <w:p>
            <w:pPr>
              <w:pStyle w:val="Normal"/>
              <w:rPr/>
            </w:pPr>
            <w:r>
              <w:rPr/>
              <w:t>1400 Smith Street (77002)</w:t>
            </w:r>
          </w:p>
        </w:tc>
        <w:tc>
          <w:tcPr>
            <w:tcW w:w="4320" w:type="dxa"/>
            <w:tcBorders/>
          </w:tcPr>
          <w:p>
            <w:pPr>
              <w:pStyle w:val="Normal"/>
              <w:rPr/>
            </w:pPr>
            <w:r>
              <w:rPr/>
              <w:t>For Enron Power Marketing, Inc.</w:t>
            </w:r>
          </w:p>
        </w:tc>
      </w:tr>
      <w:tr>
        <w:trPr/>
        <w:tc>
          <w:tcPr>
            <w:tcW w:w="5148" w:type="dxa"/>
            <w:tcBorders/>
          </w:tcPr>
          <w:p>
            <w:pPr>
              <w:pStyle w:val="Normal"/>
              <w:rPr/>
            </w:pPr>
            <w:r>
              <w:rPr/>
              <w:t>P. O. Box 4428</w:t>
            </w:r>
          </w:p>
        </w:tc>
        <w:tc>
          <w:tcPr>
            <w:tcW w:w="4320" w:type="dxa"/>
            <w:tcBorders/>
          </w:tcPr>
          <w:p>
            <w:pPr>
              <w:pStyle w:val="Normal"/>
              <w:rPr/>
            </w:pPr>
            <w:r>
              <w:rPr/>
              <w:t>ABA Routing # 111000012</w:t>
            </w:r>
          </w:p>
        </w:tc>
      </w:tr>
      <w:tr>
        <w:trPr/>
        <w:tc>
          <w:tcPr>
            <w:tcW w:w="5148" w:type="dxa"/>
            <w:tcBorders/>
          </w:tcPr>
          <w:p>
            <w:pPr>
              <w:pStyle w:val="Normal"/>
              <w:rPr/>
            </w:pPr>
            <w:r>
              <w:rPr/>
              <w:t>Houston, Texas  77210-4428</w:t>
            </w:r>
          </w:p>
        </w:tc>
        <w:tc>
          <w:tcPr>
            <w:tcW w:w="4320" w:type="dxa"/>
            <w:tcBorders/>
          </w:tcPr>
          <w:p>
            <w:pPr>
              <w:pStyle w:val="Normal"/>
              <w:rPr/>
            </w:pPr>
            <w:r>
              <w:rPr/>
              <w:t>Account # 375 046 9312</w:t>
            </w:r>
          </w:p>
        </w:tc>
      </w:tr>
      <w:tr>
        <w:trPr/>
        <w:tc>
          <w:tcPr>
            <w:tcW w:w="5148" w:type="dxa"/>
            <w:tcBorders/>
          </w:tcPr>
          <w:p>
            <w:pPr>
              <w:pStyle w:val="Normal"/>
              <w:rPr/>
            </w:pPr>
            <w:r>
              <w:rPr/>
              <w:t>Attn.:</w:t>
              <w:tab/>
              <w:t>Power Contract Documentation Manager</w:t>
            </w:r>
          </w:p>
        </w:tc>
        <w:tc>
          <w:tcPr>
            <w:tcW w:w="4320" w:type="dxa"/>
            <w:tcBorders/>
          </w:tcPr>
          <w:p>
            <w:pPr>
              <w:pStyle w:val="Normal"/>
              <w:snapToGrid w:val="false"/>
              <w:rPr/>
            </w:pPr>
            <w:r>
              <w:rPr/>
            </w:r>
          </w:p>
        </w:tc>
      </w:tr>
      <w:tr>
        <w:trPr/>
        <w:tc>
          <w:tcPr>
            <w:tcW w:w="5148" w:type="dxa"/>
            <w:tcBorders/>
          </w:tcPr>
          <w:p>
            <w:pPr>
              <w:pStyle w:val="Normal"/>
              <w:rPr/>
            </w:pPr>
            <w:r>
              <w:rPr/>
              <w:t>Facsimile No.:  (713) 646-2443</w:t>
            </w:r>
          </w:p>
        </w:tc>
        <w:tc>
          <w:tcPr>
            <w:tcW w:w="4320" w:type="dxa"/>
            <w:tcBorders/>
          </w:tcPr>
          <w:p>
            <w:pPr>
              <w:pStyle w:val="Normal"/>
              <w:snapToGrid w:val="false"/>
              <w:rPr/>
            </w:pPr>
            <w:r>
              <w:rPr/>
            </w:r>
          </w:p>
        </w:tc>
      </w:tr>
      <w:tr>
        <w:trPr/>
        <w:tc>
          <w:tcPr>
            <w:tcW w:w="5148" w:type="dxa"/>
            <w:tcBorders/>
          </w:tcPr>
          <w:p>
            <w:pPr>
              <w:pStyle w:val="Normal"/>
              <w:snapToGrid w:val="false"/>
              <w:rPr/>
            </w:pPr>
            <w:r>
              <w:rPr/>
            </w:r>
          </w:p>
        </w:tc>
        <w:tc>
          <w:tcPr>
            <w:tcW w:w="4320" w:type="dxa"/>
            <w:tcBorders/>
          </w:tcPr>
          <w:p>
            <w:pPr>
              <w:pStyle w:val="Normal"/>
              <w:snapToGrid w:val="false"/>
              <w:rPr/>
            </w:pPr>
            <w:r>
              <w:rPr/>
            </w:r>
          </w:p>
        </w:tc>
      </w:tr>
      <w:tr>
        <w:trPr/>
        <w:tc>
          <w:tcPr>
            <w:tcW w:w="5148" w:type="dxa"/>
            <w:tcBorders/>
          </w:tcPr>
          <w:p>
            <w:pPr>
              <w:pStyle w:val="Normal"/>
              <w:rPr/>
            </w:pPr>
            <w:r>
              <w:rPr>
                <w:u w:val="single"/>
              </w:rPr>
              <w:t>INVOICES</w:t>
            </w:r>
            <w:r>
              <w:rPr/>
              <w:t>:</w:t>
            </w:r>
          </w:p>
        </w:tc>
        <w:tc>
          <w:tcPr>
            <w:tcW w:w="4320" w:type="dxa"/>
            <w:tcBorders/>
          </w:tcPr>
          <w:p>
            <w:pPr>
              <w:pStyle w:val="Normal"/>
              <w:snapToGrid w:val="false"/>
              <w:rPr/>
            </w:pPr>
            <w:r>
              <w:rPr/>
            </w:r>
          </w:p>
        </w:tc>
      </w:tr>
      <w:tr>
        <w:trPr/>
        <w:tc>
          <w:tcPr>
            <w:tcW w:w="5148" w:type="dxa"/>
            <w:tcBorders/>
          </w:tcPr>
          <w:p>
            <w:pPr>
              <w:pStyle w:val="Normal"/>
              <w:rPr/>
            </w:pPr>
            <w:r>
              <w:rPr/>
              <w:t>c/o Enron Power Marketing, Inc.</w:t>
            </w:r>
          </w:p>
        </w:tc>
        <w:tc>
          <w:tcPr>
            <w:tcW w:w="4320" w:type="dxa"/>
            <w:tcBorders/>
          </w:tcPr>
          <w:p>
            <w:pPr>
              <w:pStyle w:val="Normal"/>
              <w:snapToGrid w:val="false"/>
              <w:rPr/>
            </w:pPr>
            <w:r>
              <w:rPr/>
            </w:r>
          </w:p>
        </w:tc>
      </w:tr>
      <w:tr>
        <w:trPr/>
        <w:tc>
          <w:tcPr>
            <w:tcW w:w="5148" w:type="dxa"/>
            <w:tcBorders/>
          </w:tcPr>
          <w:p>
            <w:pPr>
              <w:pStyle w:val="Normal"/>
              <w:rPr/>
            </w:pPr>
            <w:r>
              <w:rPr/>
              <w:t>1400 Smith Street (77002)</w:t>
            </w:r>
          </w:p>
        </w:tc>
        <w:tc>
          <w:tcPr>
            <w:tcW w:w="4320" w:type="dxa"/>
            <w:tcBorders/>
          </w:tcPr>
          <w:p>
            <w:pPr>
              <w:pStyle w:val="Normal"/>
              <w:snapToGrid w:val="false"/>
              <w:rPr/>
            </w:pPr>
            <w:r>
              <w:rPr/>
            </w:r>
          </w:p>
        </w:tc>
      </w:tr>
      <w:tr>
        <w:trPr/>
        <w:tc>
          <w:tcPr>
            <w:tcW w:w="5148" w:type="dxa"/>
            <w:tcBorders/>
          </w:tcPr>
          <w:p>
            <w:pPr>
              <w:pStyle w:val="Normal"/>
              <w:rPr/>
            </w:pPr>
            <w:r>
              <w:rPr/>
              <w:t>P. O. Box 4428</w:t>
            </w:r>
          </w:p>
        </w:tc>
        <w:tc>
          <w:tcPr>
            <w:tcW w:w="4320" w:type="dxa"/>
            <w:tcBorders/>
          </w:tcPr>
          <w:p>
            <w:pPr>
              <w:pStyle w:val="Normal"/>
              <w:snapToGrid w:val="false"/>
              <w:rPr/>
            </w:pPr>
            <w:r>
              <w:rPr/>
            </w:r>
          </w:p>
        </w:tc>
      </w:tr>
      <w:tr>
        <w:trPr/>
        <w:tc>
          <w:tcPr>
            <w:tcW w:w="5148" w:type="dxa"/>
            <w:tcBorders/>
          </w:tcPr>
          <w:p>
            <w:pPr>
              <w:pStyle w:val="Normal"/>
              <w:rPr/>
            </w:pPr>
            <w:r>
              <w:rPr/>
              <w:t>Houston, Texas  77210-4428</w:t>
            </w:r>
          </w:p>
        </w:tc>
        <w:tc>
          <w:tcPr>
            <w:tcW w:w="4320" w:type="dxa"/>
            <w:tcBorders/>
          </w:tcPr>
          <w:p>
            <w:pPr>
              <w:pStyle w:val="Normal"/>
              <w:snapToGrid w:val="false"/>
              <w:rPr/>
            </w:pPr>
            <w:r>
              <w:rPr/>
            </w:r>
          </w:p>
        </w:tc>
      </w:tr>
      <w:tr>
        <w:trPr/>
        <w:tc>
          <w:tcPr>
            <w:tcW w:w="5148" w:type="dxa"/>
            <w:tcBorders/>
          </w:tcPr>
          <w:p>
            <w:pPr>
              <w:pStyle w:val="Normal"/>
              <w:rPr/>
            </w:pPr>
            <w:r>
              <w:rPr/>
              <w:t>Attn.:</w:t>
              <w:tab/>
              <w:t>Power Contract Settlement Manager</w:t>
            </w:r>
          </w:p>
        </w:tc>
        <w:tc>
          <w:tcPr>
            <w:tcW w:w="4320" w:type="dxa"/>
            <w:tcBorders/>
          </w:tcPr>
          <w:p>
            <w:pPr>
              <w:pStyle w:val="Normal"/>
              <w:snapToGrid w:val="false"/>
              <w:rPr/>
            </w:pPr>
            <w:r>
              <w:rPr/>
            </w:r>
          </w:p>
        </w:tc>
      </w:tr>
      <w:tr>
        <w:trPr/>
        <w:tc>
          <w:tcPr>
            <w:tcW w:w="5148" w:type="dxa"/>
            <w:tcBorders/>
          </w:tcPr>
          <w:p>
            <w:pPr>
              <w:pStyle w:val="Normal"/>
              <w:snapToGrid w:val="false"/>
              <w:rPr/>
            </w:pPr>
            <w:r>
              <w:rPr/>
            </w:r>
          </w:p>
        </w:tc>
        <w:tc>
          <w:tcPr>
            <w:tcW w:w="4320" w:type="dxa"/>
            <w:tcBorders/>
          </w:tcPr>
          <w:p>
            <w:pPr>
              <w:pStyle w:val="Normal"/>
              <w:snapToGrid w:val="false"/>
              <w:rPr/>
            </w:pPr>
            <w:r>
              <w:rPr/>
            </w:r>
          </w:p>
        </w:tc>
      </w:tr>
      <w:tr>
        <w:trPr/>
        <w:tc>
          <w:tcPr>
            <w:tcW w:w="5148" w:type="dxa"/>
            <w:tcBorders/>
          </w:tcPr>
          <w:p>
            <w:pPr>
              <w:pStyle w:val="Normal"/>
              <w:snapToGrid w:val="false"/>
              <w:rPr/>
            </w:pPr>
            <w:r>
              <w:rPr/>
            </w:r>
          </w:p>
        </w:tc>
        <w:tc>
          <w:tcPr>
            <w:tcW w:w="4320" w:type="dxa"/>
            <w:tcBorders/>
          </w:tcPr>
          <w:p>
            <w:pPr>
              <w:pStyle w:val="Normal"/>
              <w:snapToGrid w:val="false"/>
              <w:rPr/>
            </w:pPr>
            <w:r>
              <w:rPr/>
            </w:r>
          </w:p>
        </w:tc>
      </w:tr>
      <w:tr>
        <w:trPr/>
        <w:tc>
          <w:tcPr>
            <w:tcW w:w="5148" w:type="dxa"/>
            <w:tcBorders/>
          </w:tcPr>
          <w:p>
            <w:pPr>
              <w:pStyle w:val="Normal"/>
              <w:snapToGrid w:val="false"/>
              <w:rPr/>
            </w:pPr>
            <w:r>
              <w:rPr/>
            </w:r>
          </w:p>
        </w:tc>
        <w:tc>
          <w:tcPr>
            <w:tcW w:w="4320" w:type="dxa"/>
            <w:tcBorders/>
          </w:tcPr>
          <w:p>
            <w:pPr>
              <w:pStyle w:val="Normal"/>
              <w:snapToGrid w:val="false"/>
              <w:rPr/>
            </w:pPr>
            <w:r>
              <w:rPr/>
            </w:r>
          </w:p>
        </w:tc>
      </w:tr>
      <w:tr>
        <w:trPr/>
        <w:tc>
          <w:tcPr>
            <w:tcW w:w="9468" w:type="dxa"/>
            <w:gridSpan w:val="2"/>
            <w:tcBorders/>
          </w:tcPr>
          <w:p>
            <w:pPr>
              <w:pStyle w:val="Normal"/>
              <w:rPr>
                <w:b/>
              </w:rPr>
            </w:pPr>
            <w:r>
              <w:rPr>
                <w:b/>
              </w:rPr>
              <w:t>BUYER:</w:t>
            </w:r>
          </w:p>
        </w:tc>
      </w:tr>
      <w:tr>
        <w:trPr/>
        <w:tc>
          <w:tcPr>
            <w:tcW w:w="5148" w:type="dxa"/>
            <w:tcBorders/>
          </w:tcPr>
          <w:p>
            <w:pPr>
              <w:pStyle w:val="Normal"/>
              <w:snapToGrid w:val="false"/>
              <w:rPr/>
            </w:pPr>
            <w:r>
              <w:rPr/>
            </w:r>
          </w:p>
        </w:tc>
        <w:tc>
          <w:tcPr>
            <w:tcW w:w="4320" w:type="dxa"/>
            <w:tcBorders/>
          </w:tcPr>
          <w:p>
            <w:pPr>
              <w:pStyle w:val="Normal"/>
              <w:snapToGrid w:val="false"/>
              <w:rPr/>
            </w:pPr>
            <w:r>
              <w:rPr/>
            </w:r>
          </w:p>
        </w:tc>
      </w:tr>
      <w:tr>
        <w:trPr/>
        <w:tc>
          <w:tcPr>
            <w:tcW w:w="5148" w:type="dxa"/>
            <w:tcBorders/>
          </w:tcPr>
          <w:p>
            <w:pPr>
              <w:pStyle w:val="Normal"/>
              <w:rPr>
                <w:u w:val="single"/>
              </w:rPr>
            </w:pPr>
            <w:r>
              <w:rPr>
                <w:u w:val="single"/>
              </w:rPr>
              <w:t>NOTICES, CORRESPONDENCE, &amp; INVOICES:</w:t>
            </w:r>
          </w:p>
        </w:tc>
        <w:tc>
          <w:tcPr>
            <w:tcW w:w="4320" w:type="dxa"/>
            <w:tcBorders/>
          </w:tcPr>
          <w:p>
            <w:pPr>
              <w:pStyle w:val="Normal"/>
              <w:rPr>
                <w:u w:val="single"/>
              </w:rPr>
            </w:pPr>
            <w:r>
              <w:rPr>
                <w:u w:val="single"/>
              </w:rPr>
              <w:t>PAYMENTS:</w:t>
            </w:r>
          </w:p>
        </w:tc>
      </w:tr>
      <w:tr>
        <w:trPr/>
        <w:tc>
          <w:tcPr>
            <w:tcW w:w="5148" w:type="dxa"/>
            <w:tcBorders/>
          </w:tcPr>
          <w:p>
            <w:pPr>
              <w:pStyle w:val="Normal"/>
              <w:snapToGrid w:val="false"/>
              <w:rPr>
                <w:u w:val="single"/>
              </w:rPr>
            </w:pPr>
            <w:r>
              <w:rPr>
                <w:u w:val="single"/>
              </w:rPr>
            </w:r>
          </w:p>
        </w:tc>
        <w:tc>
          <w:tcPr>
            <w:tcW w:w="4320" w:type="dxa"/>
            <w:tcBorders/>
          </w:tcPr>
          <w:p>
            <w:pPr>
              <w:pStyle w:val="Normal"/>
              <w:rPr/>
            </w:pPr>
            <w:r>
              <w:rPr/>
              <w:t>As described in writing by Buyer</w:t>
            </w:r>
          </w:p>
        </w:tc>
      </w:tr>
      <w:tr>
        <w:trPr/>
        <w:tc>
          <w:tcPr>
            <w:tcW w:w="5148" w:type="dxa"/>
            <w:tcBorders/>
          </w:tcPr>
          <w:p>
            <w:pPr>
              <w:pStyle w:val="Normal"/>
              <w:snapToGrid w:val="false"/>
              <w:rPr/>
            </w:pPr>
            <w:r>
              <w:rPr/>
            </w:r>
          </w:p>
        </w:tc>
        <w:tc>
          <w:tcPr>
            <w:tcW w:w="4320" w:type="dxa"/>
            <w:tcBorders/>
          </w:tcPr>
          <w:p>
            <w:pPr>
              <w:pStyle w:val="Normal"/>
              <w:snapToGrid w:val="false"/>
              <w:rPr/>
            </w:pPr>
            <w:r>
              <w:rPr/>
            </w:r>
          </w:p>
        </w:tc>
      </w:tr>
      <w:tr>
        <w:trPr/>
        <w:tc>
          <w:tcPr>
            <w:tcW w:w="5148" w:type="dxa"/>
            <w:tcBorders/>
          </w:tcPr>
          <w:p>
            <w:pPr>
              <w:pStyle w:val="Normal"/>
              <w:snapToGrid w:val="false"/>
              <w:rPr/>
            </w:pPr>
            <w:r>
              <w:rPr/>
            </w:r>
          </w:p>
        </w:tc>
        <w:tc>
          <w:tcPr>
            <w:tcW w:w="4320" w:type="dxa"/>
            <w:tcBorders/>
          </w:tcPr>
          <w:p>
            <w:pPr>
              <w:pStyle w:val="Normal"/>
              <w:snapToGrid w:val="false"/>
              <w:rPr/>
            </w:pPr>
            <w:r>
              <w:rPr/>
            </w:r>
          </w:p>
        </w:tc>
      </w:tr>
    </w:tbl>
    <w:p>
      <w:pPr>
        <w:sectPr>
          <w:headerReference w:type="default" r:id="rId11"/>
          <w:headerReference w:type="first" r:id="rId12"/>
          <w:footerReference w:type="default" r:id="rId13"/>
          <w:footerReference w:type="first" r:id="rId14"/>
          <w:type w:val="nextPage"/>
          <w:pgSz w:w="12240" w:h="15840"/>
          <w:pgMar w:left="1008" w:right="1008" w:gutter="0" w:header="720" w:top="1008" w:footer="720" w:bottom="1008"/>
          <w:pgNumType w:start="1" w:fmt="decimal"/>
          <w:formProt w:val="false"/>
          <w:textDirection w:val="lrTb"/>
          <w:docGrid w:type="default" w:linePitch="360" w:charSpace="0"/>
        </w:sectPr>
        <w:pStyle w:val="Normal"/>
        <w:rPr/>
      </w:pPr>
      <w:r>
        <w:rPr/>
      </w:r>
    </w:p>
    <w:p>
      <w:pPr>
        <w:pStyle w:val="Normal"/>
        <w:spacing w:lineRule="exact" w:line="280"/>
        <w:jc w:val="center"/>
        <w:rPr>
          <w:b/>
        </w:rPr>
      </w:pPr>
      <w:r>
        <w:rPr>
          <w:b/>
        </w:rPr>
        <w:t>EXHIBIT "C"</w:t>
      </w:r>
    </w:p>
    <w:p>
      <w:pPr>
        <w:pStyle w:val="Normal"/>
        <w:spacing w:lineRule="exact" w:line="280"/>
        <w:jc w:val="center"/>
        <w:rPr>
          <w:b/>
        </w:rPr>
      </w:pPr>
      <w:r>
        <w:rPr>
          <w:b/>
        </w:rPr>
        <w:t>to the</w:t>
      </w:r>
    </w:p>
    <w:p>
      <w:pPr>
        <w:pStyle w:val="Normal"/>
        <w:jc w:val="center"/>
        <w:rPr>
          <w:b/>
        </w:rPr>
      </w:pPr>
      <w:r>
        <w:rPr>
          <w:b/>
        </w:rPr>
        <w:t>Power Purchase &amp; Sale Agreement</w:t>
      </w:r>
    </w:p>
    <w:p>
      <w:pPr>
        <w:pStyle w:val="Normal"/>
        <w:spacing w:lineRule="exact" w:line="280"/>
        <w:jc w:val="center"/>
        <w:rPr>
          <w:b/>
        </w:rPr>
      </w:pPr>
      <w:r>
        <w:rPr>
          <w:b/>
        </w:rPr>
      </w:r>
    </w:p>
    <w:p>
      <w:pPr>
        <w:pStyle w:val="Normal"/>
        <w:spacing w:lineRule="exact" w:line="280"/>
        <w:jc w:val="center"/>
        <w:rPr>
          <w:b/>
          <w:u w:val="single"/>
        </w:rPr>
      </w:pPr>
      <w:r>
        <w:rPr>
          <w:b/>
          <w:u w:val="single"/>
        </w:rPr>
        <w:t>ENRON CORP. FORM OF GUARANTEE AGREEMENT</w:t>
      </w:r>
    </w:p>
    <w:p>
      <w:pPr>
        <w:pStyle w:val="Normal"/>
        <w:spacing w:lineRule="exact" w:line="280"/>
        <w:jc w:val="center"/>
        <w:rPr>
          <w:b/>
          <w:u w:val="single"/>
        </w:rPr>
      </w:pPr>
      <w:r>
        <w:rPr>
          <w:b/>
          <w:u w:val="single"/>
        </w:rPr>
      </w:r>
    </w:p>
    <w:p>
      <w:pPr>
        <w:pStyle w:val="Normal"/>
        <w:suppressAutoHyphens w:val="true"/>
        <w:jc w:val="center"/>
        <w:rPr>
          <w:spacing w:val="-2"/>
          <w:u w:val="single"/>
        </w:rPr>
      </w:pPr>
      <w:r>
        <w:rPr>
          <w:b/>
          <w:spacing w:val="-2"/>
          <w:u w:val="single"/>
        </w:rPr>
        <w:t>ENRON CORP.</w:t>
      </w:r>
    </w:p>
    <w:p>
      <w:pPr>
        <w:pStyle w:val="Normal"/>
        <w:suppressAutoHyphens w:val="true"/>
        <w:jc w:val="center"/>
        <w:rPr>
          <w:spacing w:val="-2"/>
          <w:u w:val="single"/>
        </w:rPr>
      </w:pPr>
      <w:r>
        <w:rPr>
          <w:spacing w:val="-2"/>
          <w:u w:val="single"/>
        </w:rPr>
      </w:r>
    </w:p>
    <w:p>
      <w:pPr>
        <w:pStyle w:val="Normal"/>
        <w:suppressAutoHyphens w:val="true"/>
        <w:jc w:val="center"/>
        <w:rPr>
          <w:b/>
          <w:spacing w:val="-2"/>
        </w:rPr>
      </w:pPr>
      <w:r>
        <w:rPr>
          <w:b/>
          <w:spacing w:val="-2"/>
          <w:u w:val="single"/>
        </w:rPr>
        <w:t>Guarantee Agreement</w:t>
      </w:r>
    </w:p>
    <w:p>
      <w:pPr>
        <w:pStyle w:val="Normal"/>
        <w:suppressAutoHyphens w:val="true"/>
        <w:rPr>
          <w:b/>
          <w:spacing w:val="-2"/>
        </w:rPr>
      </w:pPr>
      <w:r>
        <w:rPr>
          <w:b/>
          <w:spacing w:val="-2"/>
        </w:rPr>
      </w:r>
    </w:p>
    <w:p>
      <w:pPr>
        <w:pStyle w:val="Normal"/>
        <w:suppressAutoHyphens w:val="true"/>
        <w:rPr>
          <w:spacing w:val="-2"/>
        </w:rPr>
      </w:pPr>
      <w:r>
        <w:rPr>
          <w:spacing w:val="-2"/>
        </w:rPr>
      </w:r>
    </w:p>
    <w:p>
      <w:pPr>
        <w:pStyle w:val="Justified"/>
        <w:rPr/>
      </w:pPr>
      <w:r>
        <w:rPr/>
        <w:tab/>
        <w:t>This Guarantee Agreement (this "Guarantee"), dated as of [__________________], is made and entered into by Enron Corp., an Oregon corporation ("Guarantor").</w:t>
      </w:r>
    </w:p>
    <w:p>
      <w:pPr>
        <w:pStyle w:val="Normal"/>
        <w:suppressAutoHyphens w:val="true"/>
        <w:spacing w:before="240" w:after="240"/>
        <w:jc w:val="center"/>
        <w:rPr>
          <w:spacing w:val="-2"/>
        </w:rPr>
      </w:pPr>
      <w:r>
        <w:rPr>
          <w:b/>
          <w:spacing w:val="-2"/>
        </w:rPr>
        <w:t>W I T N E S S E T H:</w:t>
      </w:r>
    </w:p>
    <w:p>
      <w:pPr>
        <w:pStyle w:val="Justified"/>
        <w:ind w:firstLine="720" w:end="0"/>
        <w:rPr/>
      </w:pPr>
      <w:r>
        <w:rPr>
          <w:spacing w:val="-2"/>
        </w:rPr>
        <w:t xml:space="preserve">WHEREAS, </w:t>
      </w:r>
      <w:r>
        <w:rPr/>
        <w:t>Enron Power Marketing, Inc. (the "Company") will enter into a Power Purchase and Sale Agreement (the "Agreement") effective as of the date of this Guarantee with Merrill Lynch Capital Services, Inc. ("Counterparty") pursuant to which Company and Counterparty may enter into transactions related to the purchase and sale of energy</w:t>
      </w:r>
      <w:r>
        <w:rPr>
          <w:spacing w:val="-2"/>
        </w:rPr>
        <w:t>; and</w:t>
      </w:r>
    </w:p>
    <w:p>
      <w:pPr>
        <w:pStyle w:val="Justified"/>
        <w:ind w:firstLine="720" w:end="0"/>
        <w:rPr>
          <w:spacing w:val="-2"/>
        </w:rPr>
      </w:pPr>
      <w:r>
        <w:rPr>
          <w:spacing w:val="-2"/>
        </w:rPr>
        <w:t>WHEREAS, Guarantor will directly or indirectly benefit from the Agreement.</w:t>
      </w:r>
    </w:p>
    <w:p>
      <w:pPr>
        <w:pStyle w:val="Justified"/>
        <w:ind w:firstLine="720" w:end="0"/>
        <w:rPr>
          <w:spacing w:val="-2"/>
        </w:rPr>
      </w:pPr>
      <w:r>
        <w:rPr>
          <w:spacing w:val="-2"/>
        </w:rPr>
        <w:t>NOW THEREFORE, in consideration of Counterparty entering into the Agreement, Guarantor hereby covenants and agrees as follows:</w:t>
      </w:r>
    </w:p>
    <w:p>
      <w:pPr>
        <w:pStyle w:val="Justified"/>
        <w:ind w:firstLine="720" w:end="0"/>
        <w:rPr/>
      </w:pPr>
      <w:r>
        <w:rPr>
          <w:spacing w:val="-2"/>
        </w:rPr>
        <w:t>1.</w:t>
        <w:tab/>
      </w:r>
      <w:r>
        <w:rPr>
          <w:spacing w:val="-2"/>
          <w:u w:val="single"/>
        </w:rPr>
        <w:t>GUARANTY</w:t>
      </w:r>
      <w:r>
        <w:rPr>
          <w:spacing w:val="-2"/>
        </w:rPr>
        <w:t>.  Subject to the provisions hereof, Guarantor hereby irrevocably and unconditionally guarantees the timely payment when due of the obligations of Company (the "Obligations") to Counterparty in accordance with the Agreement.  To the extent that Company shall fail to pay any Obligations, Guarantor shall promptly pay to Counterparty the amount due.  This Guarantee shall constitute a guarantee of payment and not of collection.  The liability of Guarantor under the Guarantee shall be subject to the following:</w:t>
      </w:r>
    </w:p>
    <w:p>
      <w:pPr>
        <w:pStyle w:val="Justified"/>
        <w:ind w:firstLine="720" w:end="0"/>
        <w:rPr>
          <w:spacing w:val="-2"/>
        </w:rPr>
      </w:pPr>
      <w:r>
        <w:rPr>
          <w:spacing w:val="-2"/>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rPr>
          <w:spacing w:val="-2"/>
        </w:rPr>
      </w:pPr>
      <w:r>
        <w:rPr>
          <w:spacing w:val="-2"/>
        </w:rPr>
        <w:t>(b)</w:t>
        <w:tab/>
        <w:t xml:space="preserve">The aggregate amount covered by this Guarantee shall not exceed </w:t>
      </w:r>
      <w:r>
        <w:rPr>
          <w:b/>
          <w:spacing w:val="-2"/>
        </w:rPr>
        <w:t>[</w:t>
      </w:r>
      <w:r>
        <w:rPr>
          <w:spacing w:val="-2"/>
        </w:rPr>
        <w:t>Thirty Million U.S. Dollars ($30,000,000).</w:t>
      </w:r>
      <w:r>
        <w:rPr>
          <w:b/>
          <w:spacing w:val="-2"/>
        </w:rPr>
        <w:t>]</w:t>
      </w:r>
    </w:p>
    <w:p>
      <w:pPr>
        <w:pStyle w:val="Justified"/>
        <w:ind w:firstLine="720" w:end="0"/>
        <w:rPr/>
      </w:pPr>
      <w:r>
        <w:rPr>
          <w:spacing w:val="-2"/>
        </w:rPr>
        <w:t>2.</w:t>
        <w:tab/>
      </w:r>
      <w:r>
        <w:rPr>
          <w:spacing w:val="-2"/>
          <w:u w:val="single"/>
        </w:rPr>
        <w:t>DEMANDS AND NOTICE</w:t>
      </w:r>
      <w:r>
        <w:rPr>
          <w:spacing w:val="-2"/>
        </w:rPr>
        <w:t>.  If Company fails or refuses to pay any Obligations, Counterparty shall notify Company in writing of the manner in which Company has failed to pay and demand that payment be made by Company.  If Company's failure or refusal to pay continues for a period of fifteen (15) days after the date of Counterparty's notice to Company, and Counterparty has elected to exercise its rights under this Guarantee,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Guarantee.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keepNext w:val="true"/>
        <w:ind w:firstLine="720" w:end="0"/>
        <w:rPr/>
      </w:pPr>
      <w:r>
        <w:rPr>
          <w:spacing w:val="-2"/>
        </w:rPr>
        <w:t>3.</w:t>
        <w:tab/>
      </w:r>
      <w:r>
        <w:rPr>
          <w:spacing w:val="-2"/>
          <w:u w:val="single"/>
        </w:rPr>
        <w:t>REPRESENTATIONS AND WARRANTIES</w:t>
      </w:r>
      <w:r>
        <w:rPr>
          <w:spacing w:val="-2"/>
        </w:rPr>
        <w:t>.  Guarantor represents and warrants that:</w:t>
      </w:r>
    </w:p>
    <w:p>
      <w:pPr>
        <w:pStyle w:val="Justified"/>
        <w:keepNext w:val="true"/>
        <w:ind w:firstLine="720" w:end="0"/>
        <w:rPr>
          <w:spacing w:val="-2"/>
        </w:rPr>
      </w:pPr>
      <w:r>
        <w:rPr>
          <w:spacing w:val="-2"/>
        </w:rPr>
        <w:t>(a)</w:t>
        <w:tab/>
        <w:t>it is a corporation duly organized and validly existing under the laws of the State of  Oregon and has the corporate power and authority to execute, deliver and carry out the terms and provisions of the Guarantee;</w:t>
      </w:r>
    </w:p>
    <w:p>
      <w:pPr>
        <w:pStyle w:val="Justified"/>
        <w:ind w:firstLine="720" w:end="0"/>
        <w:rPr>
          <w:spacing w:val="-2"/>
        </w:rPr>
      </w:pPr>
      <w:r>
        <w:rPr>
          <w:spacing w:val="-2"/>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Justified"/>
        <w:ind w:firstLine="720" w:end="0"/>
        <w:rPr>
          <w:spacing w:val="-2"/>
        </w:rPr>
      </w:pPr>
      <w:r>
        <w:rPr>
          <w:spacing w:val="-2"/>
        </w:rPr>
        <w:t>(c)</w:t>
        <w:tab/>
        <w: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Justified"/>
        <w:ind w:firstLine="720" w:end="0"/>
        <w:rPr/>
      </w:pPr>
      <w:r>
        <w:rPr>
          <w:spacing w:val="-2"/>
        </w:rPr>
        <w:t>4.</w:t>
        <w:tab/>
      </w:r>
      <w:r>
        <w:rPr>
          <w:spacing w:val="-2"/>
          <w:u w:val="single"/>
        </w:rPr>
        <w:t>SETOFFS AND COUNTERCLAIMS</w:t>
      </w:r>
      <w:r>
        <w:rPr>
          <w:spacing w:val="-2"/>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Justified"/>
        <w:ind w:firstLine="720" w:end="0"/>
        <w:rPr/>
      </w:pPr>
      <w:r>
        <w:rPr>
          <w:spacing w:val="-2"/>
        </w:rPr>
        <w:t>5.</w:t>
        <w:tab/>
      </w:r>
      <w:r>
        <w:rPr>
          <w:spacing w:val="-2"/>
          <w:u w:val="single"/>
        </w:rPr>
        <w:t>AMENDMENT OF GUARANTY</w:t>
      </w:r>
      <w:r>
        <w:rPr>
          <w:spacing w:val="-2"/>
        </w:rPr>
        <w:t>.  No term or provision of this Guarantee shall be amended, modified, altered, waived, or supplemented except in a writing signed by the parties hereto.</w:t>
      </w:r>
    </w:p>
    <w:p>
      <w:pPr>
        <w:pStyle w:val="Justified"/>
        <w:ind w:firstLine="720" w:end="0"/>
        <w:rPr/>
      </w:pPr>
      <w:r>
        <w:rPr>
          <w:spacing w:val="-2"/>
        </w:rPr>
        <w:t>6.</w:t>
        <w:tab/>
      </w:r>
      <w:r>
        <w:rPr>
          <w:spacing w:val="-2"/>
          <w:u w:val="single"/>
        </w:rPr>
        <w:t>WAIVERS</w:t>
      </w:r>
      <w:r>
        <w:rPr>
          <w:spacing w:val="-2"/>
        </w:rPr>
        <w: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t>
      </w:r>
    </w:p>
    <w:p>
      <w:pPr>
        <w:pStyle w:val="Justified"/>
        <w:ind w:firstLine="720" w:end="0"/>
        <w:rPr>
          <w:spacing w:val="-2"/>
        </w:rPr>
      </w:pPr>
      <w:r>
        <w:rPr>
          <w:spacing w:val="-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rPr>
          <w:spacing w:val="-2"/>
        </w:rPr>
      </w:pPr>
      <w:r>
        <w:rPr>
          <w:spacing w:val="-2"/>
        </w:rPr>
        <w:t>Guarantor consents to the renewal, compromise, extension, acceleration or other changes in the time of payment of or other changes in the terms of the Obligations, or any part thereof or any changes or modifications to the terms of the Agreement.</w:t>
      </w:r>
    </w:p>
    <w:p>
      <w:pPr>
        <w:pStyle w:val="Justified"/>
        <w:ind w:firstLine="720" w:end="0"/>
        <w:rPr/>
      </w:pPr>
      <w:r>
        <w:rPr>
          <w:spacing w:val="-2"/>
        </w:rPr>
        <w:t>7.</w:t>
        <w:tab/>
      </w:r>
      <w:r>
        <w:rPr>
          <w:spacing w:val="-2"/>
          <w:u w:val="single"/>
        </w:rPr>
        <w:t>NOTICE</w:t>
      </w:r>
      <w:r>
        <w:rPr>
          <w:spacing w:val="-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uppressAutoHyphens w:val="true"/>
        <w:rPr>
          <w:spacing w:val="-2"/>
        </w:rPr>
      </w:pPr>
      <w:r>
        <w:rPr>
          <w:spacing w:val="-2"/>
        </w:rPr>
      </w:r>
    </w:p>
    <w:p>
      <w:pPr>
        <w:pStyle w:val="Normal"/>
        <w:keepNext w:val="true"/>
        <w:tabs>
          <w:tab w:val="clear" w:pos="720"/>
          <w:tab w:val="left" w:pos="1440" w:leader="none"/>
          <w:tab w:val="left" w:pos="4320" w:leader="none"/>
          <w:tab w:val="left" w:pos="7920" w:leader="none"/>
        </w:tabs>
        <w:suppressAutoHyphens w:val="true"/>
        <w:ind w:start="720" w:end="0"/>
        <w:rPr>
          <w:spacing w:val="-3"/>
        </w:rPr>
      </w:pPr>
      <w:r>
        <w:rPr>
          <w:spacing w:val="-2"/>
        </w:rPr>
        <w:t>To Counterparty:</w:t>
        <w:tab/>
        <w:t>Merrill Lynch Capital Services, Inc.</w:t>
      </w:r>
    </w:p>
    <w:p>
      <w:pPr>
        <w:pStyle w:val="Normal"/>
        <w:keepNext w:val="true"/>
        <w:tabs>
          <w:tab w:val="clear" w:pos="720"/>
          <w:tab w:val="left" w:pos="1440" w:leader="none"/>
          <w:tab w:val="left" w:pos="4320" w:leader="none"/>
          <w:tab w:val="left" w:pos="7920" w:leader="none"/>
        </w:tabs>
        <w:suppressAutoHyphens w:val="true"/>
        <w:ind w:start="720" w:end="0"/>
        <w:rPr/>
      </w:pPr>
      <w:r>
        <w:rPr>
          <w:spacing w:val="-3"/>
        </w:rPr>
        <w:tab/>
        <w:tab/>
        <w:t>World Financial Center North Tower, 7</w:t>
      </w:r>
      <w:r>
        <w:rPr>
          <w:spacing w:val="-3"/>
          <w:vertAlign w:val="superscript"/>
        </w:rPr>
        <w:t>th</w:t>
      </w:r>
      <w:r>
        <w:rPr>
          <w:spacing w:val="-3"/>
        </w:rPr>
        <w:t xml:space="preserve"> Floor</w:t>
      </w:r>
    </w:p>
    <w:p>
      <w:pPr>
        <w:pStyle w:val="Index3"/>
        <w:keepNext w:val="true"/>
        <w:tabs>
          <w:tab w:val="clear" w:pos="720"/>
          <w:tab w:val="left" w:pos="1440" w:leader="none"/>
          <w:tab w:val="left" w:pos="4320" w:leader="none"/>
          <w:tab w:val="left" w:pos="7920" w:leader="none"/>
        </w:tabs>
        <w:suppressAutoHyphens w:val="true"/>
        <w:rPr>
          <w:spacing w:val="-3"/>
          <w:sz w:val="22"/>
        </w:rPr>
      </w:pPr>
      <w:r>
        <w:rPr>
          <w:spacing w:val="-3"/>
          <w:sz w:val="22"/>
        </w:rPr>
        <w:tab/>
        <w:tab/>
        <w:t>New York,  New York  10281-1307</w:t>
      </w:r>
    </w:p>
    <w:p>
      <w:pPr>
        <w:pStyle w:val="Normal"/>
        <w:keepNext w:val="true"/>
        <w:tabs>
          <w:tab w:val="clear" w:pos="720"/>
          <w:tab w:val="left" w:pos="1440" w:leader="none"/>
          <w:tab w:val="left" w:pos="4320" w:leader="none"/>
          <w:tab w:val="left" w:pos="7920" w:leader="none"/>
        </w:tabs>
        <w:suppressAutoHyphens w:val="true"/>
        <w:ind w:start="720" w:end="0"/>
        <w:rPr>
          <w:spacing w:val="-3"/>
        </w:rPr>
      </w:pPr>
      <w:r>
        <w:rPr>
          <w:spacing w:val="-3"/>
        </w:rPr>
        <w:tab/>
        <w:tab/>
        <w:t>Attn.:  John Protano – Global Power Trading Operations</w:t>
      </w:r>
    </w:p>
    <w:p>
      <w:pPr>
        <w:pStyle w:val="Normal"/>
        <w:keepNext w:val="true"/>
        <w:tabs>
          <w:tab w:val="clear" w:pos="720"/>
          <w:tab w:val="left" w:pos="1440" w:leader="none"/>
          <w:tab w:val="left" w:pos="4320" w:leader="none"/>
          <w:tab w:val="left" w:pos="7920" w:leader="none"/>
        </w:tabs>
        <w:suppressAutoHyphens w:val="true"/>
        <w:ind w:start="720" w:end="0"/>
        <w:rPr>
          <w:spacing w:val="-2"/>
        </w:rPr>
      </w:pPr>
      <w:r>
        <w:rPr>
          <w:spacing w:val="-3"/>
        </w:rPr>
        <w:tab/>
        <w:tab/>
        <w:t>Fax No.:  212-449-0762</w:t>
      </w:r>
    </w:p>
    <w:p>
      <w:pPr>
        <w:pStyle w:val="Normal"/>
        <w:tabs>
          <w:tab w:val="clear" w:pos="720"/>
          <w:tab w:val="left" w:pos="1440" w:leader="none"/>
          <w:tab w:val="left" w:pos="4320" w:leader="none"/>
        </w:tabs>
        <w:suppressAutoHyphens w:val="true"/>
        <w:ind w:start="720" w:end="0"/>
        <w:rPr>
          <w:spacing w:val="-2"/>
        </w:rPr>
      </w:pPr>
      <w:r>
        <w:rPr>
          <w:spacing w:val="-2"/>
        </w:rPr>
      </w:r>
    </w:p>
    <w:p>
      <w:pPr>
        <w:pStyle w:val="Normal"/>
        <w:keepNext w:val="true"/>
        <w:keepLines/>
        <w:tabs>
          <w:tab w:val="clear" w:pos="720"/>
          <w:tab w:val="left" w:pos="1440" w:leader="none"/>
          <w:tab w:val="left" w:pos="4320" w:leader="none"/>
        </w:tabs>
        <w:suppressAutoHyphens w:val="true"/>
        <w:ind w:start="720" w:end="0"/>
        <w:rPr>
          <w:spacing w:val="-2"/>
        </w:rPr>
      </w:pPr>
      <w:r>
        <w:rPr>
          <w:spacing w:val="-2"/>
        </w:rPr>
        <w:t>To Guarantor:</w:t>
        <w:tab/>
        <w:t>Enron Corp.</w:t>
      </w:r>
    </w:p>
    <w:p>
      <w:pPr>
        <w:pStyle w:val="Normal"/>
        <w:keepNext w:val="true"/>
        <w:keepLines/>
        <w:tabs>
          <w:tab w:val="clear" w:pos="720"/>
          <w:tab w:val="left" w:pos="1440" w:leader="none"/>
          <w:tab w:val="left" w:pos="4320" w:leader="none"/>
        </w:tabs>
        <w:suppressAutoHyphens w:val="true"/>
        <w:ind w:start="720" w:end="0"/>
        <w:rPr>
          <w:spacing w:val="-2"/>
        </w:rPr>
      </w:pPr>
      <w:r>
        <w:rPr>
          <w:spacing w:val="-2"/>
        </w:rPr>
        <w:tab/>
        <w:tab/>
        <w:t>1400 Smith Street</w:t>
      </w:r>
    </w:p>
    <w:p>
      <w:pPr>
        <w:pStyle w:val="Normal"/>
        <w:keepNext w:val="true"/>
        <w:keepLines/>
        <w:tabs>
          <w:tab w:val="clear" w:pos="720"/>
          <w:tab w:val="left" w:pos="1440" w:leader="none"/>
          <w:tab w:val="left" w:pos="4320" w:leader="none"/>
        </w:tabs>
        <w:suppressAutoHyphens w:val="true"/>
        <w:ind w:start="720" w:end="0"/>
        <w:rPr>
          <w:spacing w:val="-2"/>
        </w:rPr>
      </w:pPr>
      <w:r>
        <w:rPr>
          <w:spacing w:val="-2"/>
        </w:rPr>
        <w:tab/>
        <w:tab/>
        <w:t>Houston, Texas  77002</w:t>
      </w:r>
    </w:p>
    <w:p>
      <w:pPr>
        <w:pStyle w:val="Normal"/>
        <w:keepNext w:val="true"/>
        <w:keepLines/>
        <w:tabs>
          <w:tab w:val="clear" w:pos="720"/>
          <w:tab w:val="left" w:pos="1440" w:leader="none"/>
          <w:tab w:val="left" w:pos="4320" w:leader="none"/>
        </w:tabs>
        <w:suppressAutoHyphens w:val="true"/>
        <w:ind w:start="720" w:end="0"/>
        <w:rPr/>
      </w:pPr>
      <w:r>
        <w:rPr>
          <w:spacing w:val="-2"/>
        </w:rPr>
        <w:tab/>
        <w:tab/>
      </w:r>
      <w:r>
        <w:rPr>
          <w:b/>
          <w:spacing w:val="-2"/>
        </w:rPr>
        <w:t>[</w:t>
      </w:r>
      <w:r>
        <w:rPr>
          <w:spacing w:val="-2"/>
        </w:rPr>
        <w:t>Attn.:  Vice President, Finance and Treasurer</w:t>
      </w:r>
    </w:p>
    <w:p>
      <w:pPr>
        <w:pStyle w:val="Normal"/>
        <w:tabs>
          <w:tab w:val="clear" w:pos="720"/>
          <w:tab w:val="left" w:pos="1440" w:leader="none"/>
          <w:tab w:val="left" w:pos="4320" w:leader="none"/>
        </w:tabs>
        <w:suppressAutoHyphens w:val="true"/>
        <w:ind w:start="720" w:end="0"/>
        <w:rPr/>
      </w:pPr>
      <w:r>
        <w:rPr>
          <w:spacing w:val="-2"/>
        </w:rPr>
        <w:tab/>
        <w:tab/>
        <w:t>Fax No.:  (713) 646-3422</w:t>
      </w:r>
      <w:r>
        <w:rPr>
          <w:b/>
          <w:spacing w:val="-2"/>
        </w:rPr>
        <w:t>]</w:t>
      </w:r>
    </w:p>
    <w:p>
      <w:pPr>
        <w:pStyle w:val="Normal"/>
        <w:suppressAutoHyphens w:val="true"/>
        <w:rPr>
          <w:b/>
          <w:spacing w:val="-2"/>
        </w:rPr>
      </w:pPr>
      <w:r>
        <w:rPr>
          <w:b/>
          <w:spacing w:val="-2"/>
        </w:rPr>
      </w:r>
    </w:p>
    <w:p>
      <w:pPr>
        <w:pStyle w:val="Justified"/>
        <w:ind w:firstLine="720" w:end="0"/>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Justified"/>
        <w:ind w:firstLine="720" w:end="0"/>
        <w:rPr/>
      </w:pPr>
      <w:r>
        <w:rPr/>
        <w:t>8.</w:t>
        <w:tab/>
      </w:r>
      <w:r>
        <w:rPr>
          <w:u w:val="single"/>
        </w:rPr>
        <w:t>MISCELLANEOUS</w:t>
      </w:r>
      <w:r>
        <w:rPr/>
        <w: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w:t>
      </w:r>
    </w:p>
    <w:p>
      <w:pPr>
        <w:pStyle w:val="Justified"/>
        <w:keepNext w:val="true"/>
        <w:keepLines/>
        <w:ind w:firstLine="720" w:end="0"/>
        <w:rPr/>
      </w:pPr>
      <w:r>
        <w:rPr/>
        <w:t>EXECUTED as of the day and year first above written.</w:t>
      </w:r>
    </w:p>
    <w:p>
      <w:pPr>
        <w:pStyle w:val="Normal"/>
        <w:keepNext w:val="true"/>
        <w:keepLines/>
        <w:suppressAutoHyphens w:val="true"/>
        <w:rPr>
          <w:spacing w:val="-2"/>
        </w:rPr>
      </w:pPr>
      <w:r>
        <w:rPr>
          <w:spacing w:val="-2"/>
        </w:rPr>
      </w:r>
    </w:p>
    <w:p>
      <w:pPr>
        <w:pStyle w:val="Normal"/>
        <w:keepNext w:val="true"/>
        <w:keepLines/>
        <w:suppressAutoHyphens w:val="true"/>
        <w:rPr>
          <w:spacing w:val="-2"/>
        </w:rPr>
      </w:pPr>
      <w:r>
        <w:rPr>
          <w:spacing w:val="-2"/>
        </w:rPr>
      </w:r>
    </w:p>
    <w:p>
      <w:pPr>
        <w:pStyle w:val="Normal"/>
        <w:keepNext w:val="true"/>
        <w:keepLines/>
        <w:tabs>
          <w:tab w:val="clear" w:pos="720"/>
          <w:tab w:val="left" w:pos="5040" w:leader="none"/>
          <w:tab w:val="left" w:pos="9180" w:leader="none"/>
        </w:tabs>
        <w:suppressAutoHyphens w:val="true"/>
        <w:rPr>
          <w:spacing w:val="-2"/>
        </w:rPr>
      </w:pPr>
      <w:r>
        <w:rPr>
          <w:b/>
          <w:spacing w:val="-2"/>
        </w:rPr>
        <w:tab/>
        <w:t>ENRON CORP.</w:t>
      </w:r>
    </w:p>
    <w:p>
      <w:pPr>
        <w:pStyle w:val="Normal"/>
        <w:keepNext w:val="true"/>
        <w:keepLines/>
        <w:tabs>
          <w:tab w:val="clear" w:pos="720"/>
          <w:tab w:val="left" w:pos="5040" w:leader="none"/>
          <w:tab w:val="left" w:pos="9180" w:leader="none"/>
        </w:tabs>
        <w:suppressAutoHyphens w:val="true"/>
        <w:rPr>
          <w:spacing w:val="-2"/>
        </w:rPr>
      </w:pPr>
      <w:r>
        <w:rPr>
          <w:spacing w:val="-2"/>
        </w:rPr>
      </w:r>
    </w:p>
    <w:p>
      <w:pPr>
        <w:pStyle w:val="Normal"/>
        <w:keepNext w:val="true"/>
        <w:keepLines/>
        <w:tabs>
          <w:tab w:val="clear" w:pos="720"/>
          <w:tab w:val="left" w:pos="5040" w:leader="none"/>
          <w:tab w:val="left" w:pos="9180" w:leader="none"/>
        </w:tabs>
        <w:suppressAutoHyphens w:val="true"/>
        <w:rPr>
          <w:spacing w:val="-2"/>
        </w:rPr>
      </w:pPr>
      <w:r>
        <w:rPr>
          <w:spacing w:val="-2"/>
        </w:rPr>
      </w:r>
    </w:p>
    <w:p>
      <w:pPr>
        <w:pStyle w:val="Normal"/>
        <w:keepNext w:val="true"/>
        <w:keepLines/>
        <w:tabs>
          <w:tab w:val="clear" w:pos="720"/>
          <w:tab w:val="left" w:pos="5040" w:leader="none"/>
          <w:tab w:val="left" w:pos="9180" w:leader="none"/>
        </w:tabs>
        <w:suppressAutoHyphens w:val="true"/>
        <w:rPr>
          <w:spacing w:val="-2"/>
        </w:rPr>
      </w:pPr>
      <w:r>
        <w:rPr>
          <w:spacing w:val="-2"/>
        </w:rPr>
      </w:r>
    </w:p>
    <w:p>
      <w:pPr>
        <w:pStyle w:val="Normal"/>
        <w:keepNext w:val="true"/>
        <w:keepLines/>
        <w:tabs>
          <w:tab w:val="clear" w:pos="720"/>
          <w:tab w:val="left" w:pos="5040" w:leader="none"/>
          <w:tab w:val="left" w:pos="9900" w:leader="none"/>
        </w:tabs>
        <w:suppressAutoHyphens w:val="true"/>
        <w:spacing w:before="120" w:after="0"/>
        <w:rPr>
          <w:spacing w:val="-2"/>
        </w:rPr>
      </w:pPr>
      <w:r>
        <w:rPr>
          <w:spacing w:val="-2"/>
        </w:rPr>
        <w:tab/>
        <w:t>By:</w:t>
      </w:r>
      <w:r>
        <w:rPr>
          <w:spacing w:val="-2"/>
          <w:u w:val="single"/>
        </w:rPr>
        <w:tab/>
      </w:r>
    </w:p>
    <w:p>
      <w:pPr>
        <w:pStyle w:val="Normal"/>
        <w:keepNext w:val="true"/>
        <w:keepLines/>
        <w:tabs>
          <w:tab w:val="clear" w:pos="720"/>
          <w:tab w:val="left" w:pos="-1440" w:leader="none"/>
          <w:tab w:val="left" w:pos="-720" w:leader="none"/>
          <w:tab w:val="left" w:pos="5040" w:leader="none"/>
          <w:tab w:val="left" w:pos="9900" w:leader="none"/>
        </w:tabs>
        <w:suppressAutoHyphens w:val="true"/>
        <w:spacing w:before="120" w:after="120"/>
        <w:rPr>
          <w:spacing w:val="-2"/>
        </w:rPr>
      </w:pPr>
      <w:r>
        <w:rPr>
          <w:spacing w:val="-2"/>
        </w:rPr>
        <w:tab/>
        <w:t>Name:</w:t>
      </w:r>
      <w:r>
        <w:rPr>
          <w:spacing w:val="-2"/>
          <w:u w:val="single"/>
        </w:rPr>
        <w:tab/>
      </w:r>
    </w:p>
    <w:p>
      <w:pPr>
        <w:pStyle w:val="Normal"/>
        <w:tabs>
          <w:tab w:val="clear" w:pos="720"/>
          <w:tab w:val="left" w:pos="5040" w:leader="none"/>
          <w:tab w:val="left" w:pos="9900" w:leader="none"/>
        </w:tabs>
        <w:rPr>
          <w:spacing w:val="-2"/>
        </w:rPr>
      </w:pPr>
      <w:r>
        <w:rPr>
          <w:spacing w:val="-2"/>
        </w:rPr>
        <w:tab/>
        <w:t>Title:</w:t>
      </w:r>
      <w:r>
        <w:rPr>
          <w:spacing w:val="-2"/>
          <w:u w:val="single"/>
        </w:rPr>
        <w:tab/>
      </w:r>
    </w:p>
    <w:p>
      <w:pPr>
        <w:sectPr>
          <w:headerReference w:type="default" r:id="rId15"/>
          <w:headerReference w:type="first" r:id="rId16"/>
          <w:footerReference w:type="default" r:id="rId17"/>
          <w:footerReference w:type="first" r:id="rId18"/>
          <w:type w:val="nextPage"/>
          <w:pgSz w:w="12240" w:h="15840"/>
          <w:pgMar w:left="1008" w:right="1008" w:gutter="0" w:header="720" w:top="1008" w:footer="720" w:bottom="1008"/>
          <w:pgNumType w:start="1" w:fmt="decimal"/>
          <w:formProt w:val="false"/>
          <w:textDirection w:val="lrTb"/>
          <w:docGrid w:type="default" w:linePitch="360" w:charSpace="0"/>
        </w:sectPr>
        <w:pStyle w:val="Normal"/>
        <w:rPr>
          <w:spacing w:val="-2"/>
        </w:rPr>
      </w:pPr>
      <w:r>
        <w:rPr>
          <w:spacing w:val="-2"/>
        </w:rPr>
      </w:r>
    </w:p>
    <w:p>
      <w:pPr>
        <w:sectPr>
          <w:headerReference w:type="default" r:id="rId19"/>
          <w:headerReference w:type="first" r:id="rId20"/>
          <w:footerReference w:type="default" r:id="rId21"/>
          <w:footerReference w:type="first" r:id="rId22"/>
          <w:type w:val="nextPage"/>
          <w:pgSz w:w="12240" w:h="15840"/>
          <w:pgMar w:left="1008" w:right="1008" w:gutter="0" w:header="720" w:top="1008" w:footer="720" w:bottom="1008"/>
          <w:pgNumType w:start="1" w:fmt="decimal"/>
          <w:formProt w:val="false"/>
          <w:textDirection w:val="lrTb"/>
          <w:docGrid w:type="default" w:linePitch="360" w:charSpace="0"/>
        </w:sectPr>
        <w:pStyle w:val="Heading1"/>
        <w:numPr>
          <w:ilvl w:val="0"/>
          <w:numId w:val="0"/>
        </w:numPr>
        <w:rPr>
          <w:caps w:val="false"/>
          <w:smallCaps w:val="false"/>
        </w:rPr>
      </w:pPr>
      <w:r>
        <w:rPr>
          <w:caps w:val="false"/>
          <w:smallCaps w:val="false"/>
        </w:rPr>
      </w:r>
    </w:p>
    <w:p>
      <w:pPr>
        <w:pStyle w:val="Heading1"/>
        <w:spacing w:lineRule="exact" w:line="280" w:before="0" w:after="0"/>
        <w:ind w:hanging="0" w:start="0"/>
        <w:rPr>
          <w:caps w:val="false"/>
          <w:smallCaps w:val="false"/>
        </w:rPr>
      </w:pPr>
      <w:r>
        <w:rPr>
          <w:caps w:val="false"/>
          <w:smallCaps w:val="false"/>
        </w:rPr>
        <w:t>EXHIBIT "D"</w:t>
      </w:r>
    </w:p>
    <w:p>
      <w:pPr>
        <w:pStyle w:val="Normal"/>
        <w:spacing w:lineRule="exact" w:line="280"/>
        <w:jc w:val="center"/>
        <w:rPr>
          <w:b/>
        </w:rPr>
      </w:pPr>
      <w:r>
        <w:rPr>
          <w:b/>
        </w:rPr>
        <w:t>to the</w:t>
      </w:r>
    </w:p>
    <w:p>
      <w:pPr>
        <w:pStyle w:val="Normal"/>
        <w:jc w:val="center"/>
        <w:rPr>
          <w:b/>
        </w:rPr>
      </w:pPr>
      <w:r>
        <w:rPr>
          <w:b/>
        </w:rPr>
        <w:t>Power Purchase &amp; Sale Agreement</w:t>
      </w:r>
    </w:p>
    <w:p>
      <w:pPr>
        <w:pStyle w:val="Normal"/>
        <w:jc w:val="center"/>
        <w:rPr>
          <w:b/>
          <w:u w:val="single"/>
        </w:rPr>
      </w:pPr>
      <w:r>
        <w:rPr>
          <w:b/>
          <w:u w:val="single"/>
        </w:rPr>
      </w:r>
    </w:p>
    <w:p>
      <w:pPr>
        <w:pStyle w:val="Normal"/>
        <w:jc w:val="center"/>
        <w:rPr>
          <w:b/>
          <w:u w:val="single"/>
        </w:rPr>
      </w:pPr>
      <w:r>
        <w:rPr>
          <w:b/>
          <w:u w:val="single"/>
        </w:rPr>
        <w:t>FORM OF ML&amp;CO. GUARANTEE</w:t>
      </w:r>
    </w:p>
    <w:p>
      <w:pPr>
        <w:pStyle w:val="Normal"/>
        <w:jc w:val="center"/>
        <w:rPr>
          <w:b/>
          <w:u w:val="single"/>
        </w:rPr>
      </w:pPr>
      <w:r>
        <w:rPr>
          <w:b/>
          <w:u w:val="single"/>
        </w:rPr>
      </w:r>
    </w:p>
    <w:p>
      <w:pPr>
        <w:pStyle w:val="Normal"/>
        <w:jc w:val="center"/>
        <w:rPr>
          <w:b/>
          <w:u w:val="single"/>
        </w:rPr>
      </w:pPr>
      <w:r>
        <w:rPr>
          <w:b/>
          <w:u w:val="single"/>
        </w:rPr>
        <w:t>GUARANTEE OF MERRILL LYNCH &amp; CO., INC.</w:t>
      </w:r>
    </w:p>
    <w:p>
      <w:pPr>
        <w:pStyle w:val="Normal"/>
        <w:rPr>
          <w:b/>
          <w:u w:val="single"/>
        </w:rPr>
      </w:pPr>
      <w:r>
        <w:rPr>
          <w:b/>
          <w:u w:val="single"/>
        </w:rPr>
      </w:r>
    </w:p>
    <w:p>
      <w:pPr>
        <w:pStyle w:val="Normal"/>
        <w:rPr/>
      </w:pPr>
      <w:r>
        <w:rPr/>
      </w:r>
    </w:p>
    <w:p>
      <w:pPr>
        <w:pStyle w:val="Normal"/>
        <w:rPr/>
      </w:pPr>
      <w:r>
        <w:rPr/>
        <w:tab/>
        <w:t xml:space="preserve">FOR VALUE RECEIVED, receipt of which is hereby acknowledged, Merrill Lynch &amp; Co., Inc., a corporation duly organized and existing under the laws of the State of Delaware ("ML&amp;Co."), hereby unconditionally guarantees to Enron Power Marketing, Inc. (the "Company"), the due and punctual payment of amounts payable by Merrill Lynch Capital Services Inc., a corporation organized and existing under the laws of Delaware ("MLCS"), under that certain Power Purchase and Sale Agreement between the Company and MLCS, dated as of </w:t>
      </w:r>
      <w:r>
        <w:rPr>
          <w:b/>
        </w:rPr>
        <w:t xml:space="preserve">[______________________] </w:t>
      </w:r>
      <w:r>
        <w:rPr/>
        <w:t xml:space="preserve">(the "Agreement"), when and as the same shall become due and payable, according to the terms thereof.  In case of the failure of MLCS punctually to make any such payment, ML&amp;Co. hereby agrees to satisfy such obligation, or cause such obligation to be satisfied, promptly upon demand made by the Company to ML&amp;Co.; </w:t>
      </w:r>
      <w:r>
        <w:rPr>
          <w:i/>
        </w:rPr>
        <w:t>provided</w:t>
      </w:r>
      <w:r>
        <w:rPr/>
        <w:t>, however that delay by the Company in giving such demand shall in no event affect ML&amp;Co.'s obligations under this Guarantee.  This Guarantee shall remain in full force and effect or shall be reinstated (as the case may be) if at any time any obligation guaranteed hereunder, in whole or in part, is rescinded or must otherwise be returned by the Company upon the insolvency, bankruptcy or reorganization of MLCS or otherwise, all as though such payment had not been made.  This Guarantee shall constitute a guarantee of payment and not of collection.</w:t>
      </w:r>
    </w:p>
    <w:p>
      <w:pPr>
        <w:pStyle w:val="Normal"/>
        <w:rPr/>
      </w:pPr>
      <w:r>
        <w:rPr/>
      </w:r>
    </w:p>
    <w:p>
      <w:pPr>
        <w:pStyle w:val="Normal"/>
        <w:rPr/>
      </w:pPr>
      <w:r>
        <w:rPr/>
        <w:tab/>
        <w:t>ML&amp;Co. hereby agrees that its obligations hereunder shall be unconditional, irrespective of the validity, regularity or enforceability of the Agreement; the absence of any action to enforce the same; any waiver or consent by the Company concerning any provisions thereof; the rendering of any judgment against MLCS or any action to enforce the same; or any other circumstances that might otherwise constitute a legal or equitable discharge of a guarantor or a defense of a guarantor.  ML&amp;Co. covenants that this guarantee will not be discharged except by complete payment of the amounts payable under the Agreement.  This Guarantee shall be binding upon Guarantor, its successors and assigns and shall continue to be effective if MLCS merges or consolidates with or into another entity, loses its separate legal identity or ceases to exist.</w:t>
      </w:r>
    </w:p>
    <w:p>
      <w:pPr>
        <w:pStyle w:val="Normal"/>
        <w:rPr/>
      </w:pPr>
      <w:r>
        <w:rPr/>
      </w:r>
    </w:p>
    <w:p>
      <w:pPr>
        <w:pStyle w:val="Normal"/>
        <w:rPr/>
      </w:pPr>
      <w:r>
        <w:rPr/>
        <w:tab/>
        <w:t>ML&amp;Co. hereby waives diligence; presentment; protest; notice of protest, acceleration, and dishonor; filing of claims with a court against MLCS or any other party to require that the Company seek enforcement of any performance against MLCS or any other person prior to any action against Guarantor under the terms hereunder; all demands whatsoever, except as noted in the first paragraph hereof; and any right to require a proceeding first against MLCS.</w:t>
      </w:r>
    </w:p>
    <w:p>
      <w:pPr>
        <w:pStyle w:val="Normal"/>
        <w:rPr/>
      </w:pPr>
      <w:r>
        <w:rPr/>
      </w:r>
    </w:p>
    <w:p>
      <w:pPr>
        <w:pStyle w:val="Normal"/>
        <w:rPr/>
      </w:pPr>
      <w:r>
        <w:rPr/>
        <w:tab/>
        <w:t>ML&amp;Co. hereby certifies and warrants that this Guarantee constitutes the valid obligation of ML&amp;Co. and complies with all applicable laws.</w:t>
      </w:r>
    </w:p>
    <w:p>
      <w:pPr>
        <w:pStyle w:val="Normal"/>
        <w:rPr/>
      </w:pPr>
      <w:r>
        <w:rPr/>
      </w:r>
    </w:p>
    <w:p>
      <w:pPr>
        <w:pStyle w:val="Normal"/>
        <w:rPr>
          <w:b/>
        </w:rPr>
      </w:pPr>
      <w:r>
        <w:rPr/>
        <w:tab/>
        <w:t>This Guarantee shall be governed by, and construed in accordance with, the laws of the State of New York without regard to principles of conflicts of laws.</w:t>
      </w:r>
    </w:p>
    <w:p>
      <w:pPr>
        <w:pStyle w:val="Normal"/>
        <w:rPr>
          <w:b/>
        </w:rPr>
      </w:pPr>
      <w:r>
        <w:rPr>
          <w:b/>
        </w:rPr>
      </w:r>
    </w:p>
    <w:p>
      <w:pPr>
        <w:pStyle w:val="Normal"/>
        <w:rPr/>
      </w:pPr>
      <w:r>
        <w:rPr/>
        <w:tab/>
        <w:t>This Guarantee becomes effective concurrent with the effectiveness of the Agreement, according to its terms.</w:t>
      </w:r>
    </w:p>
    <w:p>
      <w:pPr>
        <w:pStyle w:val="Normal"/>
        <w:rPr/>
      </w:pPr>
      <w:r>
        <w:rPr/>
      </w:r>
    </w:p>
    <w:p>
      <w:pPr>
        <w:pStyle w:val="Normal"/>
        <w:rPr/>
      </w:pPr>
      <w:r>
        <w:rPr/>
      </w:r>
    </w:p>
    <w:p>
      <w:pPr>
        <w:pStyle w:val="Normal"/>
        <w:rPr/>
      </w:pPr>
      <w:r>
        <w:rPr/>
      </w:r>
    </w:p>
    <w:p>
      <w:pPr>
        <w:pStyle w:val="Normal"/>
        <w:rPr/>
      </w:pPr>
      <w:r>
        <w:rPr/>
        <w:tab/>
      </w:r>
      <w:r>
        <w:rPr>
          <w:b/>
        </w:rPr>
        <w:t>IN WITNESS WHEREOF</w:t>
      </w:r>
      <w:r>
        <w:rPr/>
        <w:t>, ML&amp;Co. has caused this Guarantee to be executed in its corporate name by its duly authorized representative.</w:t>
      </w:r>
    </w:p>
    <w:p>
      <w:pPr>
        <w:pStyle w:val="Normal"/>
        <w:rPr/>
      </w:pPr>
      <w:r>
        <w:rPr/>
      </w:r>
    </w:p>
    <w:p>
      <w:pPr>
        <w:pStyle w:val="Normal"/>
        <w:rPr>
          <w:b/>
        </w:rPr>
      </w:pPr>
      <w:r>
        <w:rPr>
          <w:b/>
        </w:rPr>
        <w:tab/>
        <w:tab/>
        <w:tab/>
        <w:tab/>
        <w:tab/>
        <w:tab/>
        <w:tab/>
        <w:t>MERRILL LYNCH &amp; CO., INC.</w:t>
      </w:r>
    </w:p>
    <w:p>
      <w:pPr>
        <w:pStyle w:val="Normal"/>
        <w:rPr>
          <w:b/>
        </w:rPr>
      </w:pPr>
      <w:r>
        <w:rPr>
          <w:b/>
        </w:rPr>
      </w:r>
    </w:p>
    <w:p>
      <w:pPr>
        <w:pStyle w:val="Normal"/>
        <w:rPr/>
      </w:pPr>
      <w:r>
        <w:rPr/>
      </w:r>
    </w:p>
    <w:p>
      <w:pPr>
        <w:pStyle w:val="Normal"/>
        <w:rPr/>
      </w:pPr>
      <w:r>
        <w:rPr/>
      </w:r>
    </w:p>
    <w:p>
      <w:pPr>
        <w:pStyle w:val="Normal"/>
        <w:rPr/>
      </w:pPr>
      <w:r>
        <w:rPr/>
        <w:tab/>
        <w:tab/>
        <w:tab/>
        <w:tab/>
        <w:tab/>
        <w:tab/>
        <w:tab/>
        <w:t>By:_________________________</w:t>
      </w:r>
    </w:p>
    <w:p>
      <w:pPr>
        <w:pStyle w:val="Normal"/>
        <w:rPr/>
      </w:pPr>
      <w:r>
        <w:rPr/>
        <w:tab/>
        <w:tab/>
        <w:tab/>
        <w:tab/>
        <w:tab/>
        <w:tab/>
        <w:tab/>
        <w:t>Name:</w:t>
      </w:r>
    </w:p>
    <w:p>
      <w:pPr>
        <w:pStyle w:val="Normal"/>
        <w:rPr/>
      </w:pPr>
      <w:r>
        <w:rPr/>
        <w:t xml:space="preserve"> </w:t>
      </w:r>
      <w:r>
        <w:rPr/>
        <w:tab/>
        <w:tab/>
        <w:tab/>
        <w:tab/>
        <w:tab/>
        <w:tab/>
        <w:tab/>
        <w:t>Title:</w:t>
      </w:r>
    </w:p>
    <w:p>
      <w:pPr>
        <w:pStyle w:val="Normal"/>
        <w:rPr/>
      </w:pPr>
      <w:r>
        <w:rPr/>
      </w:r>
    </w:p>
    <w:p>
      <w:pPr>
        <w:pStyle w:val="Heading3"/>
        <w:rPr/>
      </w:pPr>
      <w:r>
        <w:rPr/>
        <w:tab/>
        <w:tab/>
        <w:tab/>
        <w:tab/>
        <w:tab/>
        <w:tab/>
        <w:tab/>
        <w:t>Date:_________________________</w:t>
      </w:r>
    </w:p>
    <w:p>
      <w:pPr>
        <w:pStyle w:val="Normal"/>
        <w:rPr/>
      </w:pPr>
      <w:r>
        <w:rPr/>
        <w:t xml:space="preserve"> </w:t>
      </w:r>
    </w:p>
    <w:p>
      <w:pPr>
        <w:pStyle w:val="From"/>
        <w:rPr/>
      </w:pPr>
      <w:r>
        <w:rPr/>
      </w:r>
      <w:r>
        <w:br w:type="page"/>
      </w:r>
    </w:p>
    <w:p>
      <w:pPr>
        <w:pStyle w:val="Normal"/>
        <w:numPr>
          <w:ilvl w:val="0"/>
          <w:numId w:val="0"/>
        </w:numPr>
        <w:jc w:val="center"/>
        <w:rPr/>
      </w:pPr>
      <w:r>
        <w:rPr/>
      </w:r>
      <w:r>
        <w:br w:type="page"/>
      </w:r>
    </w:p>
    <w:p>
      <w:pPr>
        <w:pStyle w:val="Normal"/>
        <w:jc w:val="center"/>
        <w:rPr/>
      </w:pPr>
      <w:r>
        <w:rPr/>
      </w:r>
    </w:p>
    <w:sectPr>
      <w:headerReference w:type="default" r:id="rId23"/>
      <w:headerReference w:type="first" r:id="rId24"/>
      <w:footerReference w:type="default" r:id="rId25"/>
      <w:footerReference w:type="first" r:id="rId26"/>
      <w:type w:val="nextPage"/>
      <w:pgSz w:w="12240" w:h="15840"/>
      <w:pgMar w:left="1008" w:right="1008" w:gutter="0" w:header="720" w:top="1008" w:footer="720"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Times">
    <w:altName w:val="Times New Roman"/>
    <w:charset w:val="00" w:characterSet="windows-1252"/>
    <w:family w:val="roman"/>
    <w:pitch w:val="variable"/>
  </w:font>
  <w:font w:name="CG Times (WN)">
    <w:charset w:val="00" w:characterSet="windows-1252"/>
    <w:family w:val="roman"/>
    <w:pitch w:val="default"/>
  </w:font>
  <w:font w:name="Bell MT">
    <w:altName w:val="Times New Roman"/>
    <w:charset w:val="00" w:characterSet="windows-1252"/>
    <w:family w:val="roman"/>
    <w:pitch w:val="variable"/>
  </w:font>
  <w:font w:name="Tahoma">
    <w:charset w:val="00" w:characterSet="windows-1252"/>
    <w:family w:val="swiss"/>
    <w:pitch w:val="variable"/>
  </w:font>
  <w:font w:name="Palatino">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sz w:val="12"/>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/mnt/main-storage/datasets/enron-docs/doc/Moosehead_Physical_Power_12_15.doc</w:t>
    </w:r>
    <w:r>
      <w:rPr>
        <w:rStyle w:val="PageNumber"/>
        <w:sz w:val="12"/>
        <w:lang w:eastAsia="en-US"/>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rStyle w:val="PageNumber"/>
        <w:sz w:val="14"/>
      </w:rPr>
    </w:pPr>
    <w:r>
      <w:rPr/>
    </w:r>
  </w:p>
  <w:p>
    <w:pPr>
      <w:pStyle w:val="Footer"/>
      <w:tabs>
        <w:tab w:val="clear" w:pos="4320"/>
        <w:tab w:val="center" w:pos="504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/mnt/main-storage/datasets/enron-docs/doc/Moosehead_Physical_Power_12_15.doc</w:t>
    </w:r>
    <w:r>
      <w:rPr>
        <w:rStyle w:val="PageNumber"/>
        <w:sz w:val="14"/>
      </w:rPr>
      <w:fldChar w:fldCharType="end"/>
    </w:r>
    <w:r>
      <w:rPr>
        <w:rStyle w:val="PageNumber"/>
        <w:sz w:val="14"/>
      </w:rPr>
      <w:tab/>
    </w:r>
  </w:p>
  <w:p>
    <w:pPr>
      <w:pStyle w:val="Footer"/>
      <w:jc w:val="start"/>
      <w:rPr>
        <w:rStyle w:val="PageNumber"/>
        <w:sz w:val="14"/>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rStyle w:val="PageNumber"/>
        <w:sz w:val="14"/>
      </w:rPr>
    </w:pPr>
    <w:r>
      <w:rPr/>
    </w:r>
  </w:p>
  <w:p>
    <w:pPr>
      <w:pStyle w:val="Footer"/>
      <w:tabs>
        <w:tab w:val="clear" w:pos="4320"/>
        <w:tab w:val="center" w:pos="504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/mnt/main-storage/datasets/enron-docs/doc/Moosehead_Physical_Power_12_15.doc</w:t>
    </w:r>
    <w:r>
      <w:rPr>
        <w:rStyle w:val="PageNumber"/>
        <w:sz w:val="14"/>
      </w:rPr>
      <w:fldChar w:fldCharType="end"/>
    </w:r>
    <w:r>
      <w:rPr>
        <w:rStyle w:val="PageNumber"/>
        <w:sz w:val="14"/>
      </w:rPr>
      <w:tab/>
    </w:r>
  </w:p>
  <w:p>
    <w:pPr>
      <w:pStyle w:val="Footer"/>
      <w:jc w:val="start"/>
      <w:rPr>
        <w:rStyle w:val="PageNumber"/>
        <w:sz w:val="14"/>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/mnt/main-storage/datasets/enron-docs/doc/Moosehead_Physical_Power_12_15.doc</w:t>
    </w:r>
    <w:r>
      <w:rPr>
        <w:rStyle w:val="PageNumber"/>
        <w:sz w:val="12"/>
        <w:lang w:eastAsia="en-US"/>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jc w:val="center"/>
      <w:rPr>
        <w:rStyle w:val="PageNumber"/>
        <w:sz w:val="14"/>
      </w:rPr>
    </w:pPr>
    <w:r>
      <w:rPr/>
    </w:r>
  </w:p>
  <w:p>
    <w:pPr>
      <w:pStyle w:val="Footer"/>
      <w:tabs>
        <w:tab w:val="clear" w:pos="4320"/>
        <w:tab w:val="center" w:pos="504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/mnt/main-storage/datasets/enron-docs/doc/Moosehead_Physical_Power_12_15.doc</w:t>
    </w:r>
    <w:r>
      <w:rPr>
        <w:rStyle w:val="PageNumber"/>
        <w:sz w:val="14"/>
      </w:rPr>
      <w:fldChar w:fldCharType="end"/>
    </w:r>
    <w:r>
      <w:rPr>
        <w:rStyle w:val="PageNumber"/>
        <w:sz w:val="14"/>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jc w:val="center"/>
      <w:rPr>
        <w:rStyle w:val="PageNumber"/>
        <w:sz w:val="14"/>
      </w:rPr>
    </w:pPr>
    <w:r>
      <w:rPr/>
    </w:r>
  </w:p>
  <w:p>
    <w:pPr>
      <w:pStyle w:val="Footer"/>
      <w:tabs>
        <w:tab w:val="clear" w:pos="4320"/>
        <w:tab w:val="center" w:pos="504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/mnt/main-storage/datasets/enron-docs/doc/Moosehead_Physical_Power_12_15.doc</w:t>
    </w:r>
    <w:r>
      <w:rPr>
        <w:rStyle w:val="PageNumber"/>
        <w:sz w:val="14"/>
      </w:rPr>
      <w:fldChar w:fldCharType="end"/>
    </w:r>
    <w:r>
      <w:rPr>
        <w:rStyle w:val="PageNumber"/>
        <w:sz w:val="14"/>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jc w:val="center"/>
      <w:rPr>
        <w:rStyle w:val="PageNumber"/>
        <w:sz w:val="14"/>
      </w:rPr>
    </w:pPr>
    <w:r>
      <w:rPr/>
    </w:r>
  </w:p>
  <w:p>
    <w:pPr>
      <w:pStyle w:val="Footer"/>
      <w:tabs>
        <w:tab w:val="clear" w:pos="4320"/>
        <w:tab w:val="center" w:pos="504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/mnt/main-storage/datasets/enron-docs/doc/Moosehead_Physical_Power_12_15.doc</w:t>
    </w:r>
    <w:r>
      <w:rPr>
        <w:rStyle w:val="PageNumber"/>
        <w:sz w:val="14"/>
      </w:rPr>
      <w:fldChar w:fldCharType="end"/>
    </w:r>
    <w:r>
      <w:rPr>
        <w:rStyle w:val="PageNumber"/>
        <w:sz w:val="14"/>
      </w:rPr>
      <w:tab/>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720"/>
        </w:tabs>
        <w:ind w:start="720" w:hanging="720"/>
      </w:pPr>
      <w:rPr/>
    </w:lvl>
    <w:lvl w:ilvl="1">
      <w:start w:val="4"/>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14"/>
      <w:numFmt w:val="lowerLetter"/>
      <w:lvlText w:val="(%1)"/>
      <w:lvlJc w:val="start"/>
      <w:pPr>
        <w:tabs>
          <w:tab w:val="num" w:pos="1440"/>
        </w:tabs>
        <w:ind w:start="1440" w:hanging="72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suff w:val="nothing"/>
      <w:lvlText w:val="Article  %1."/>
      <w:lvlJc w:val="end"/>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WW8Num5z0">
    <w:name w:val="WW8Num5z0"/>
    <w:qFormat/>
    <w:rPr>
      <w:rFonts w:ascii="Times New Roman" w:hAnsi="Times New Roman" w:cs="Times New Roman"/>
      <w:b w:val="false"/>
      <w:i w:val="false"/>
      <w:sz w:val="20"/>
      <w:u w:val="none"/>
    </w:rPr>
  </w:style>
  <w:style w:type="character" w:styleId="WW8Num6z0">
    <w:name w:val="WW8Num6z0"/>
    <w:qFormat/>
    <w:rPr/>
  </w:style>
  <w:style w:type="character" w:styleId="WW8Num7z0">
    <w:name w:val="WW8Num7z0"/>
    <w:qFormat/>
    <w:rPr>
      <w:rFonts w:ascii="Times New Roman" w:hAnsi="Times New Roman" w:cs="Times New Roman"/>
      <w:b w:val="false"/>
      <w:i w:val="false"/>
      <w:sz w:val="20"/>
      <w:u w:val="none"/>
    </w:rPr>
  </w:style>
  <w:style w:type="character" w:styleId="WW8Num8z0">
    <w:name w:val="WW8Num8z0"/>
    <w:qFormat/>
    <w:rPr>
      <w:rFonts w:ascii="Times New Roman" w:hAnsi="Times New Roman" w:cs="Times New Roman"/>
      <w:b w:val="false"/>
      <w:i w:val="false"/>
      <w:sz w:val="20"/>
      <w:u w:val="none"/>
    </w:rPr>
  </w:style>
  <w:style w:type="character" w:styleId="WW8Num9z0">
    <w:name w:val="WW8Num9z0"/>
    <w:qFormat/>
    <w:rPr>
      <w:rFonts w:ascii="Times New Roman" w:hAnsi="Times New Roman" w:cs="Times New Roman"/>
      <w:b w:val="false"/>
      <w:i w:val="false"/>
      <w:sz w:val="20"/>
      <w:u w:val="none"/>
    </w:rPr>
  </w:style>
  <w:style w:type="character" w:styleId="WW8Num10z0">
    <w:name w:val="WW8Num10z0"/>
    <w:qFormat/>
    <w:rPr>
      <w:rFonts w:ascii="Times New Roman" w:hAnsi="Times New Roman" w:cs="Times New Roman"/>
      <w:b w:val="false"/>
      <w:i w:val="false"/>
      <w:sz w:val="20"/>
      <w:u w:val="none"/>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style>
  <w:style w:type="character" w:styleId="WW8Num14z0">
    <w:name w:val="WW8Num14z0"/>
    <w:qFormat/>
    <w:rPr>
      <w:rFonts w:ascii="Times New Roman" w:hAnsi="Times New Roman" w:cs="Times New Roman"/>
      <w:b w:val="false"/>
      <w:i w:val="false"/>
      <w:sz w:val="20"/>
      <w:u w:val="none"/>
    </w:rPr>
  </w:style>
  <w:style w:type="character" w:styleId="WW8Num15z0">
    <w:name w:val="WW8Num15z0"/>
    <w:qFormat/>
    <w:rPr>
      <w:rFonts w:ascii="Times New Roman" w:hAnsi="Times New Roman" w:cs="Times New Roman"/>
      <w:b w:val="false"/>
      <w:i w:val="false"/>
      <w:sz w:val="20"/>
      <w:u w:val="none"/>
    </w:rPr>
  </w:style>
  <w:style w:type="character" w:styleId="WW8Num16z0">
    <w:name w:val="WW8Num16z0"/>
    <w:qFormat/>
    <w:rPr/>
  </w:style>
  <w:style w:type="character" w:styleId="WW8Num17z0">
    <w:name w:val="WW8Num17z0"/>
    <w:qFormat/>
    <w:rPr/>
  </w:style>
  <w:style w:type="character" w:styleId="WW8Num18z0">
    <w:name w:val="WW8Num18z0"/>
    <w:qFormat/>
    <w:rPr>
      <w:rFonts w:ascii="Times New Roman" w:hAnsi="Times New Roman" w:cs="Times New Roman"/>
      <w:b w:val="false"/>
      <w:i w:val="false"/>
      <w:sz w:val="20"/>
      <w:u w:val="none"/>
    </w:rPr>
  </w:style>
  <w:style w:type="character" w:styleId="WW8Num19z0">
    <w:name w:val="WW8Num19z0"/>
    <w:qFormat/>
    <w:rPr/>
  </w:style>
  <w:style w:type="character" w:styleId="WW8Num20z0">
    <w:name w:val="WW8Num20z0"/>
    <w:qFormat/>
    <w:rPr/>
  </w:style>
  <w:style w:type="character" w:styleId="WW8Num22z0">
    <w:name w:val="WW8Num22z0"/>
    <w:qFormat/>
    <w:rPr>
      <w:rFonts w:ascii="Times New Roman" w:hAnsi="Times New Roman" w:cs="Times New Roman"/>
      <w:b w:val="false"/>
      <w:i w:val="false"/>
      <w:sz w:val="20"/>
      <w:u w:val="none"/>
    </w:rPr>
  </w:style>
  <w:style w:type="character" w:styleId="WW8Num23z0">
    <w:name w:val="WW8Num23z0"/>
    <w:qFormat/>
    <w:rPr/>
  </w:style>
  <w:style w:type="character" w:styleId="WW8Num24z0">
    <w:name w:val="WW8Num24z0"/>
    <w:qFormat/>
    <w:rPr/>
  </w:style>
  <w:style w:type="character" w:styleId="WW8Num25z0">
    <w:name w:val="WW8Num25z0"/>
    <w:qFormat/>
    <w:rPr>
      <w:rFonts w:ascii="Times New Roman" w:hAnsi="Times New Roman" w:cs="Times New Roman"/>
      <w:b w:val="false"/>
      <w:i w:val="false"/>
      <w:sz w:val="20"/>
      <w:u w:val="none"/>
    </w:rPr>
  </w:style>
  <w:style w:type="character" w:styleId="WW8Num26z0">
    <w:name w:val="WW8Num26z0"/>
    <w:qFormat/>
    <w:rPr>
      <w:rFonts w:ascii="Times New Roman" w:hAnsi="Times New Roman" w:cs="Times New Roman"/>
      <w:b w:val="false"/>
      <w:i w:val="false"/>
      <w:sz w:val="20"/>
      <w:u w:val="none"/>
    </w:rPr>
  </w:style>
  <w:style w:type="character" w:styleId="WW8Num27z0">
    <w:name w:val="WW8Num27z0"/>
    <w:qFormat/>
    <w:rPr/>
  </w:style>
  <w:style w:type="character" w:styleId="WW8Num28z0">
    <w:name w:val="WW8Num28z0"/>
    <w:qFormat/>
    <w:rPr>
      <w:rFonts w:ascii="Times New Roman" w:hAnsi="Times New Roman" w:cs="Times New Roman"/>
      <w:b w:val="false"/>
      <w:i w:val="false"/>
      <w:sz w:val="20"/>
      <w:u w:val="none"/>
    </w:rPr>
  </w:style>
  <w:style w:type="character" w:styleId="WW8Num29z0">
    <w:name w:val="WW8Num29z0"/>
    <w:qFormat/>
    <w:rPr>
      <w:rFonts w:ascii="Times New Roman" w:hAnsi="Times New Roman" w:cs="Times New Roman"/>
      <w:b w:val="false"/>
      <w:i w:val="false"/>
      <w:sz w:val="20"/>
      <w:u w:val="none"/>
    </w:rPr>
  </w:style>
  <w:style w:type="character" w:styleId="WW8Num30z0">
    <w:name w:val="WW8Num30z0"/>
    <w:qFormat/>
    <w:rPr/>
  </w:style>
  <w:style w:type="character" w:styleId="WW8Num31z0">
    <w:name w:val="WW8Num31z0"/>
    <w:qFormat/>
    <w:rPr/>
  </w:style>
  <w:style w:type="character" w:styleId="WW8Num32z0">
    <w:name w:val="WW8Num32z0"/>
    <w:qFormat/>
    <w:rPr>
      <w:sz w:val="20"/>
    </w:rPr>
  </w:style>
  <w:style w:type="character" w:styleId="WW8Num33z0">
    <w:name w:val="WW8Num33z0"/>
    <w:qFormat/>
    <w:rPr>
      <w:rFonts w:ascii="Times New Roman" w:hAnsi="Times New Roman" w:cs="Times New Roman"/>
      <w:b/>
      <w:i w:val="false"/>
      <w:sz w:val="20"/>
      <w:u w:val="none"/>
    </w:rPr>
  </w:style>
  <w:style w:type="character" w:styleId="WW8Num34z0">
    <w:name w:val="WW8Num34z0"/>
    <w:qFormat/>
    <w:rPr>
      <w:sz w:val="20"/>
    </w:rPr>
  </w:style>
  <w:style w:type="character" w:styleId="WW8Num35z0">
    <w:name w:val="WW8Num35z0"/>
    <w:qFormat/>
    <w:rPr/>
  </w:style>
  <w:style w:type="character" w:styleId="WW8Num36z0">
    <w:name w:val="WW8Num36z0"/>
    <w:qFormat/>
    <w:rPr>
      <w:rFonts w:ascii="Times New Roman" w:hAnsi="Times New Roman" w:cs="Times New Roman"/>
      <w:b/>
      <w:i w:val="false"/>
      <w:sz w:val="20"/>
      <w:u w:val="none"/>
    </w:rPr>
  </w:style>
  <w:style w:type="character" w:styleId="WW8Num37z0">
    <w:name w:val="WW8Num37z0"/>
    <w:qFormat/>
    <w:rPr>
      <w:rFonts w:ascii="Times New Roman" w:hAnsi="Times New Roman" w:cs="Times New Roman"/>
      <w:b w:val="false"/>
      <w:i w:val="false"/>
      <w:sz w:val="20"/>
      <w:u w:val="none"/>
    </w:rPr>
  </w:style>
  <w:style w:type="character" w:styleId="WW8Num39z0">
    <w:name w:val="WW8Num39z0"/>
    <w:qFormat/>
    <w:rPr>
      <w:rFonts w:ascii="Times New Roman" w:hAnsi="Times New Roman" w:cs="Times New Roman"/>
      <w:b w:val="false"/>
      <w:i w:val="false"/>
      <w:sz w:val="20"/>
      <w:u w:val="none"/>
    </w:rPr>
  </w:style>
  <w:style w:type="character" w:styleId="WW8Num40z0">
    <w:name w:val="WW8Num40z0"/>
    <w:qFormat/>
    <w:rPr>
      <w:rFonts w:ascii="Times New Roman" w:hAnsi="Times New Roman" w:cs="Times New Roman"/>
      <w:b w:val="false"/>
      <w:i w:val="false"/>
      <w:sz w:val="20"/>
      <w:u w:val="none"/>
    </w:rPr>
  </w:style>
  <w:style w:type="character" w:styleId="WW8Num41z0">
    <w:name w:val="WW8Num41z0"/>
    <w:qFormat/>
    <w:rPr>
      <w:rFonts w:ascii="Times New Roman" w:hAnsi="Times New Roman" w:cs="Times New Roman"/>
      <w:b/>
      <w:i w:val="false"/>
      <w:sz w:val="20"/>
      <w:u w:val="none"/>
    </w:rPr>
  </w:style>
  <w:style w:type="character" w:styleId="WW8Num43z0">
    <w:name w:val="WW8Num43z0"/>
    <w:qFormat/>
    <w:rPr>
      <w:rFonts w:ascii="Times New Roman" w:hAnsi="Times New Roman" w:cs="Times New Roman"/>
      <w:b w:val="false"/>
      <w:i w:val="false"/>
      <w:sz w:val="20"/>
      <w:u w:val="none"/>
    </w:rPr>
  </w:style>
  <w:style w:type="character" w:styleId="WW8Num44z0">
    <w:name w:val="WW8Num44z0"/>
    <w:qFormat/>
    <w:rPr>
      <w:rFonts w:ascii="Times New Roman" w:hAnsi="Times New Roman" w:cs="Times New Roman"/>
      <w:b w:val="false"/>
      <w:i w:val="false"/>
      <w:sz w:val="20"/>
      <w:u w:val="none"/>
    </w:rPr>
  </w:style>
  <w:style w:type="character" w:styleId="WW8Num45z0">
    <w:name w:val="WW8Num45z0"/>
    <w:qFormat/>
    <w:rPr/>
  </w:style>
  <w:style w:type="character" w:styleId="WW8Num46z0">
    <w:name w:val="WW8Num46z0"/>
    <w:qFormat/>
    <w:rPr>
      <w:rFonts w:ascii="Times New Roman" w:hAnsi="Times New Roman" w:cs="Times New Roman"/>
      <w:b w:val="false"/>
      <w:i w:val="false"/>
      <w:sz w:val="20"/>
      <w:u w:val="none"/>
    </w:rPr>
  </w:style>
  <w:style w:type="character" w:styleId="WW8Num47z0">
    <w:name w:val="WW8Num47z0"/>
    <w:qFormat/>
    <w:rPr/>
  </w:style>
  <w:style w:type="character" w:styleId="WW8Num48z0">
    <w:name w:val="WW8Num48z0"/>
    <w:qFormat/>
    <w:rPr>
      <w:rFonts w:ascii="Times New Roman" w:hAnsi="Times New Roman" w:cs="Times New Roman"/>
      <w:b w:val="false"/>
      <w:i w:val="false"/>
      <w:sz w:val="20"/>
      <w:u w:val="none"/>
    </w:rPr>
  </w:style>
  <w:style w:type="character" w:styleId="WW8Num49z0">
    <w:name w:val="WW8Num49z0"/>
    <w:qFormat/>
    <w:rPr>
      <w:rFonts w:ascii="Times New Roman" w:hAnsi="Times New Roman" w:cs="Times New Roman"/>
      <w:b w:val="false"/>
      <w:i w:val="false"/>
      <w:sz w:val="20"/>
      <w:u w:val="none"/>
    </w:rPr>
  </w:style>
  <w:style w:type="character" w:styleId="WW8Num51z0">
    <w:name w:val="WW8Num51z0"/>
    <w:qFormat/>
    <w:rPr>
      <w:rFonts w:ascii="Times New Roman" w:hAnsi="Times New Roman" w:cs="Times New Roman"/>
      <w:b w:val="false"/>
      <w:i w:val="false"/>
      <w:sz w:val="20"/>
      <w:u w:val="none"/>
    </w:rPr>
  </w:style>
  <w:style w:type="character" w:styleId="WW8Num52z0">
    <w:name w:val="WW8Num52z0"/>
    <w:qFormat/>
    <w:rPr>
      <w:rFonts w:ascii="Times New Roman" w:hAnsi="Times New Roman" w:cs="Times New Roman"/>
      <w:b w:val="false"/>
      <w:i w:val="false"/>
      <w:sz w:val="20"/>
      <w:u w:val="none"/>
    </w:rPr>
  </w:style>
  <w:style w:type="character" w:styleId="WW8Num53z0">
    <w:name w:val="WW8Num53z0"/>
    <w:qFormat/>
    <w:rPr>
      <w:rFonts w:ascii="Times New Roman" w:hAnsi="Times New Roman" w:cs="Times New Roman"/>
      <w:b w:val="false"/>
      <w:i w:val="false"/>
      <w:sz w:val="20"/>
      <w:u w:val="none"/>
    </w:rPr>
  </w:style>
  <w:style w:type="character" w:styleId="WW8Num54z0">
    <w:name w:val="WW8Num54z0"/>
    <w:qFormat/>
    <w:rPr>
      <w:rFonts w:ascii="Times New Roman" w:hAnsi="Times New Roman" w:cs="Times New Roman"/>
      <w:b w:val="false"/>
      <w:i w:val="false"/>
      <w:sz w:val="20"/>
      <w:u w:val="none"/>
    </w:rPr>
  </w:style>
  <w:style w:type="character" w:styleId="WW8Num55z0">
    <w:name w:val="WW8Num55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CommentReference">
    <w:name w:val="Comment Reference"/>
    <w:basedOn w:val="DefaultParagraphFont"/>
    <w:qFormat/>
    <w:rPr>
      <w:rFonts w:ascii="Times New Roman" w:hAnsi="Times New Roman" w:cs="Times New Roman"/>
      <w:sz w:val="16"/>
    </w:rPr>
  </w:style>
  <w:style w:type="character" w:styleId="EndnoteCharacters">
    <w:name w:val="Endnote Characters"/>
    <w:basedOn w:val="DefaultParagraphFont"/>
    <w:qFormat/>
    <w:rPr>
      <w:rFonts w:ascii="Times New Roman" w:hAnsi="Times New Roman" w:cs="Times New Roman"/>
      <w:vertAlign w:val="superscript"/>
    </w:rPr>
  </w:style>
  <w:style w:type="character" w:styleId="LineNumber">
    <w:name w:val="line number"/>
    <w:basedOn w:val="DefaultParagraphFont"/>
    <w:rPr>
      <w:rFonts w:ascii="Times New Roman" w:hAnsi="Times New Roman" w:cs="Times New Roman"/>
      <w:sz w:val="22"/>
    </w:rPr>
  </w:style>
  <w:style w:type="paragraph" w:styleId="Heading">
    <w:name w:val="Heading"/>
    <w:basedOn w:val="Normal"/>
    <w:next w:val="BodyText"/>
    <w:qFormat/>
    <w:pPr>
      <w:jc w:val="center"/>
    </w:pPr>
    <w:rPr>
      <w:rFonts w:ascii="Tms Rmn" w:hAnsi="Tms Rmn" w:cs="Tms Rmn"/>
      <w:sz w:val="20"/>
      <w:lang w:val="en-CA" w:eastAsia="en-CA"/>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NormalIndent">
    <w:name w:val="Normal Indent"/>
    <w:basedOn w:val="Normal"/>
    <w:qFormat/>
    <w:pPr>
      <w:ind w:hanging="0" w:start="720" w:end="0"/>
    </w:pPr>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ightPar">
    <w:name w:val="Right Par"/>
    <w:basedOn w:val="Normal"/>
    <w:qFormat/>
    <w:pPr>
      <w:ind w:hanging="0" w:start="720" w:end="0"/>
    </w:pPr>
    <w:rPr>
      <w:rFonts w:ascii="Tms Rmn" w:hAnsi="Tms Rmn" w:cs="Tms Rmn"/>
      <w:sz w:val="20"/>
      <w:lang w:val="en-CA" w:eastAsia="en-CA"/>
    </w:rPr>
  </w:style>
  <w:style w:type="paragraph" w:styleId="Bibliogrphy">
    <w:name w:val="Bibliogrphy"/>
    <w:basedOn w:val="Normal"/>
    <w:qFormat/>
    <w:pPr>
      <w:ind w:firstLine="1296" w:start="720" w:end="0"/>
    </w:pPr>
    <w:rPr>
      <w:rFonts w:ascii="Tms Rmn" w:hAnsi="Tms Rmn" w:cs="Tms Rmn"/>
      <w:sz w:val="20"/>
      <w:lang w:val="en-CA" w:eastAsia="en-CA"/>
    </w:rPr>
  </w:style>
  <w:style w:type="paragraph" w:styleId="Subheading">
    <w:name w:val="Subheading"/>
    <w:basedOn w:val="Normal"/>
    <w:qFormat/>
    <w:pPr/>
    <w:rPr>
      <w:rFonts w:ascii="Tms Rmn" w:hAnsi="Tms Rmn" w:cs="Tms Rmn"/>
      <w:sz w:val="20"/>
      <w:lang w:val="en-CA" w:eastAsia="en-CA"/>
    </w:rPr>
  </w:style>
  <w:style w:type="paragraph" w:styleId="Pleading">
    <w:name w:val="Pleading"/>
    <w:basedOn w:val="Normal"/>
    <w:qFormat/>
    <w:pPr>
      <w:tabs>
        <w:tab w:val="clear" w:pos="720"/>
        <w:tab w:val="right" w:pos="288" w:leader="none"/>
      </w:tabs>
    </w:pPr>
    <w:rPr>
      <w:rFonts w:ascii="Tms Rmn" w:hAnsi="Tms Rmn" w:cs="Tms Rmn"/>
      <w:sz w:val="20"/>
      <w:lang w:val="en-CA" w:eastAsia="en-CA"/>
    </w:rPr>
  </w:style>
  <w:style w:type="paragraph" w:styleId="FOOTNOTE">
    <w:name w:val="FOOTNOTE"/>
    <w:basedOn w:val="Normal"/>
    <w:qFormat/>
    <w:pPr/>
    <w:rPr>
      <w:rFonts w:ascii="Tms Rmn" w:hAnsi="Tms Rmn" w:cs="Tms Rmn"/>
      <w:sz w:val="20"/>
      <w:lang w:val="en-CA" w:eastAsia="en-CA"/>
    </w:rPr>
  </w:style>
  <w:style w:type="paragraph" w:styleId="HIGHLIGHT1">
    <w:name w:val="HIGHLIGHT 1"/>
    <w:basedOn w:val="Normal"/>
    <w:qFormat/>
    <w:pPr/>
    <w:rPr>
      <w:rFonts w:ascii="Tms Rmn" w:hAnsi="Tms Rmn" w:cs="Tms Rmn"/>
      <w:sz w:val="20"/>
      <w:lang w:val="en-CA" w:eastAsia="en-CA"/>
    </w:rPr>
  </w:style>
  <w:style w:type="paragraph" w:styleId="DRAFTON">
    <w:name w:val="DRAFT ON"/>
    <w:basedOn w:val="Normal"/>
    <w:qFormat/>
    <w:pPr>
      <w:jc w:val="end"/>
    </w:pPr>
    <w:rPr>
      <w:rFonts w:ascii="Tms Rmn" w:hAnsi="Tms Rmn" w:cs="Tms Rmn"/>
      <w:sz w:val="20"/>
      <w:lang w:val="en-CA" w:eastAsia="en-CA"/>
    </w:rPr>
  </w:style>
  <w:style w:type="paragraph" w:styleId="DRAFTOFF">
    <w:name w:val="DRAFT OFF"/>
    <w:basedOn w:val="Normal"/>
    <w:qFormat/>
    <w:pPr/>
    <w:rPr>
      <w:rFonts w:ascii="Tms Rmn" w:hAnsi="Tms Rmn" w:cs="Tms Rmn"/>
      <w:sz w:val="20"/>
      <w:lang w:val="en-CA" w:eastAsia="en-CA"/>
    </w:rPr>
  </w:style>
  <w:style w:type="paragraph" w:styleId="LETTERLAND">
    <w:name w:val="LETTER LAND"/>
    <w:basedOn w:val="Normal"/>
    <w:qFormat/>
    <w:pPr/>
    <w:rPr>
      <w:rFonts w:ascii="Tms Rmn" w:hAnsi="Tms Rmn" w:cs="Tms Rmn"/>
      <w:sz w:val="20"/>
      <w:lang w:val="en-CA" w:eastAsia="en-CA"/>
    </w:rPr>
  </w:style>
  <w:style w:type="paragraph" w:styleId="LEGALLAND">
    <w:name w:val="LEGAL LAND"/>
    <w:basedOn w:val="Normal"/>
    <w:qFormat/>
    <w:pPr/>
    <w:rPr>
      <w:rFonts w:ascii="Tms Rmn" w:hAnsi="Tms Rmn" w:cs="Tms Rmn"/>
      <w:sz w:val="20"/>
      <w:lang w:val="en-CA" w:eastAsia="en-CA"/>
    </w:rPr>
  </w:style>
  <w:style w:type="paragraph" w:styleId="LETTERPORT">
    <w:name w:val="LETTER PORT"/>
    <w:basedOn w:val="Normal"/>
    <w:qFormat/>
    <w:pPr/>
    <w:rPr>
      <w:rFonts w:ascii="Tms Rmn" w:hAnsi="Tms Rmn" w:cs="Tms Rmn"/>
      <w:sz w:val="20"/>
      <w:lang w:val="en-CA" w:eastAsia="en-CA"/>
    </w:rPr>
  </w:style>
  <w:style w:type="paragraph" w:styleId="LEGALPORT">
    <w:name w:val="LEGAL PORT"/>
    <w:basedOn w:val="Normal"/>
    <w:qFormat/>
    <w:pPr/>
    <w:rPr>
      <w:rFonts w:ascii="Tms Rmn" w:hAnsi="Tms Rmn" w:cs="Tms Rmn"/>
      <w:sz w:val="20"/>
      <w:lang w:val="en-CA" w:eastAsia="en-CA"/>
    </w:rPr>
  </w:style>
  <w:style w:type="paragraph" w:styleId="TITLE1">
    <w:name w:val="TITLE1"/>
    <w:basedOn w:val="Normal"/>
    <w:qFormat/>
    <w:pPr>
      <w:jc w:val="center"/>
    </w:pPr>
    <w:rPr>
      <w:rFonts w:ascii="Tms Rmn" w:hAnsi="Tms Rmn" w:cs="Tms Rmn"/>
      <w:sz w:val="20"/>
      <w:lang w:val="en-CA" w:eastAsia="en-CA"/>
    </w:rPr>
  </w:style>
  <w:style w:type="paragraph" w:styleId="BLOCKQUOTE">
    <w:name w:val="BLOCK QUOTE"/>
    <w:basedOn w:val="Normal"/>
    <w:qFormat/>
    <w:pPr>
      <w:spacing w:lineRule="atLeast" w:line="240"/>
      <w:ind w:hanging="0" w:start="720" w:end="720"/>
    </w:pPr>
    <w:rPr>
      <w:rFonts w:ascii="Tms Rmn" w:hAnsi="Tms Rmn" w:cs="Tms Rmn"/>
      <w:sz w:val="20"/>
      <w:lang w:val="en-CA" w:eastAsia="en-CA"/>
    </w:rPr>
  </w:style>
  <w:style w:type="paragraph" w:styleId="HIGHLIGHT2">
    <w:name w:val="HIGHLIGHT 2"/>
    <w:basedOn w:val="Normal"/>
    <w:qFormat/>
    <w:pPr/>
    <w:rPr>
      <w:rFonts w:ascii="Tms Rmn" w:hAnsi="Tms Rmn" w:cs="Tms Rmn"/>
      <w:sz w:val="20"/>
      <w:lang w:val="en-CA" w:eastAsia="en-CA"/>
    </w:rPr>
  </w:style>
  <w:style w:type="paragraph" w:styleId="HIGHLIGHT3">
    <w:name w:val="HIGHLIGHT 3"/>
    <w:basedOn w:val="Normal"/>
    <w:qFormat/>
    <w:pPr/>
    <w:rPr>
      <w:rFonts w:ascii="Tms Rmn" w:hAnsi="Tms Rmn" w:cs="Tms Rmn"/>
      <w:sz w:val="20"/>
      <w:lang w:val="en-CA" w:eastAsia="en-CA"/>
    </w:rPr>
  </w:style>
  <w:style w:type="paragraph" w:styleId="LETTERHEAD">
    <w:name w:val="LETTERHEAD"/>
    <w:basedOn w:val="Normal"/>
    <w:qFormat/>
    <w:pPr>
      <w:jc w:val="center"/>
    </w:pPr>
    <w:rPr>
      <w:rFonts w:ascii="Tms Rmn" w:hAnsi="Tms Rmn" w:cs="Tms Rmn"/>
      <w:sz w:val="20"/>
      <w:lang w:val="en-CA" w:eastAsia="en-CA"/>
    </w:rPr>
  </w:style>
  <w:style w:type="paragraph" w:styleId="INVOICEFEE">
    <w:name w:val="INVOICE FEE"/>
    <w:basedOn w:val="Normal"/>
    <w:qFormat/>
    <w:pPr>
      <w:tabs>
        <w:tab w:val="clear" w:pos="720"/>
        <w:tab w:val="left" w:pos="432" w:leader="none"/>
        <w:tab w:val="left" w:pos="1152" w:leader="none"/>
        <w:tab w:val="decimal" w:pos="9864" w:leader="none"/>
      </w:tabs>
    </w:pPr>
    <w:rPr>
      <w:rFonts w:ascii="Tms Rmn" w:hAnsi="Tms Rmn" w:cs="Tms Rmn"/>
      <w:sz w:val="20"/>
      <w:lang w:val="en-CA" w:eastAsia="en-CA"/>
    </w:rPr>
  </w:style>
  <w:style w:type="paragraph" w:styleId="MEMORANDUM">
    <w:name w:val="MEMORANDUM"/>
    <w:basedOn w:val="Normal"/>
    <w:qFormat/>
    <w:pPr>
      <w:jc w:val="center"/>
    </w:pPr>
    <w:rPr>
      <w:rFonts w:ascii="Tms Rmn" w:hAnsi="Tms Rmn" w:cs="Tms Rmn"/>
      <w:sz w:val="20"/>
      <w:lang w:val="en-CA" w:eastAsia="en-CA"/>
    </w:rPr>
  </w:style>
  <w:style w:type="paragraph" w:styleId="INVOICEEXP">
    <w:name w:val="INVOICE EXP"/>
    <w:basedOn w:val="Normal"/>
    <w:qFormat/>
    <w:pPr>
      <w:tabs>
        <w:tab w:val="clear" w:pos="720"/>
        <w:tab w:val="left" w:pos="432" w:leader="none"/>
        <w:tab w:val="left" w:pos="1152" w:leader="none"/>
        <w:tab w:val="decimal" w:pos="9864" w:leader="none"/>
      </w:tabs>
    </w:pPr>
    <w:rPr>
      <w:rFonts w:ascii="Tms Rmn" w:hAnsi="Tms Rmn" w:cs="Tms Rmn"/>
      <w:sz w:val="20"/>
      <w:lang w:val="en-CA" w:eastAsia="en-CA"/>
    </w:rPr>
  </w:style>
  <w:style w:type="paragraph" w:styleId="INVOICETOT">
    <w:name w:val="INVOICE TOT"/>
    <w:basedOn w:val="Normal"/>
    <w:qFormat/>
    <w:pPr>
      <w:tabs>
        <w:tab w:val="clear" w:pos="720"/>
        <w:tab w:val="left" w:pos="432" w:leader="none"/>
        <w:tab w:val="left" w:pos="1152" w:leader="none"/>
        <w:tab w:val="decimal" w:pos="9864" w:leader="none"/>
      </w:tabs>
    </w:pPr>
    <w:rPr>
      <w:rFonts w:ascii="Tms Rmn" w:hAnsi="Tms Rmn" w:cs="Tms Rmn"/>
      <w:sz w:val="20"/>
      <w:lang w:val="en-CA" w:eastAsia="en-CA"/>
    </w:rPr>
  </w:style>
  <w:style w:type="paragraph" w:styleId="INVOICEHEAD">
    <w:name w:val="INVOICE HEAD"/>
    <w:basedOn w:val="Normal"/>
    <w:qFormat/>
    <w:pPr>
      <w:tabs>
        <w:tab w:val="clear" w:pos="720"/>
        <w:tab w:val="left" w:pos="4680" w:leader="none"/>
      </w:tabs>
      <w:jc w:val="center"/>
    </w:pPr>
    <w:rPr>
      <w:rFonts w:ascii="Tms Rmn" w:hAnsi="Tms Rmn" w:cs="Tms Rmn"/>
      <w:sz w:val="20"/>
      <w:lang w:val="en-CA" w:eastAsia="en-CA"/>
    </w:rPr>
  </w:style>
  <w:style w:type="paragraph" w:styleId="SMALL">
    <w:name w:val="SMALL"/>
    <w:basedOn w:val="Normal"/>
    <w:qFormat/>
    <w:pPr/>
    <w:rPr>
      <w:rFonts w:ascii="Tms Rmn" w:hAnsi="Tms Rmn" w:cs="Tms Rmn"/>
      <w:sz w:val="20"/>
      <w:lang w:val="en-CA" w:eastAsia="en-CA"/>
    </w:rPr>
  </w:style>
  <w:style w:type="paragraph" w:styleId="FINE">
    <w:name w:val="FINE"/>
    <w:basedOn w:val="Normal"/>
    <w:qFormat/>
    <w:pPr/>
    <w:rPr>
      <w:rFonts w:ascii="Tms Rmn" w:hAnsi="Tms Rmn" w:cs="Tms Rmn"/>
      <w:sz w:val="20"/>
      <w:lang w:val="en-CA" w:eastAsia="en-CA"/>
    </w:rPr>
  </w:style>
  <w:style w:type="paragraph" w:styleId="LARGE">
    <w:name w:val="LARGE"/>
    <w:basedOn w:val="Normal"/>
    <w:qFormat/>
    <w:pPr/>
    <w:rPr>
      <w:rFonts w:ascii="Tms Rmn" w:hAnsi="Tms Rmn" w:cs="Tms Rmn"/>
      <w:sz w:val="20"/>
      <w:lang w:val="en-CA" w:eastAsia="en-CA"/>
    </w:rPr>
  </w:style>
  <w:style w:type="paragraph" w:styleId="EXTRALARGE">
    <w:name w:val="EXTRA LARGE"/>
    <w:basedOn w:val="Normal"/>
    <w:qFormat/>
    <w:pPr/>
    <w:rPr>
      <w:rFonts w:ascii="Tms Rmn" w:hAnsi="Tms Rmn" w:cs="Tms Rmn"/>
      <w:sz w:val="20"/>
      <w:lang w:val="en-CA" w:eastAsia="en-CA"/>
    </w:rPr>
  </w:style>
  <w:style w:type="paragraph" w:styleId="VERYLARGE">
    <w:name w:val="VERY LARGE"/>
    <w:basedOn w:val="Normal"/>
    <w:qFormat/>
    <w:pPr/>
    <w:rPr>
      <w:rFonts w:ascii="Tms Rmn" w:hAnsi="Tms Rmn" w:cs="Tms Rmn"/>
      <w:sz w:val="20"/>
      <w:lang w:val="en-CA" w:eastAsia="en-CA"/>
    </w:rPr>
  </w:style>
  <w:style w:type="paragraph" w:styleId="ENVELOPE">
    <w:name w:val="ENVELOPE"/>
    <w:basedOn w:val="Normal"/>
    <w:qFormat/>
    <w:pPr/>
    <w:rPr>
      <w:rFonts w:ascii="Tms Rmn" w:hAnsi="Tms Rmn" w:cs="Tms Rmn"/>
      <w:sz w:val="20"/>
      <w:lang w:val="en-CA" w:eastAsia="en-CA"/>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eastAsia="zh-CN" w:bidi="hi-IN"/>
    </w:rPr>
  </w:style>
  <w:style w:type="paragraph" w:styleId="f">
    <w:name w:val="f"/>
    <w:qFormat/>
    <w:pPr>
      <w:widowControl/>
      <w:bidi w:val="0"/>
    </w:pPr>
    <w:rPr>
      <w:rFonts w:ascii="CG Times (WN)" w:hAnsi="CG Times (WN)" w:eastAsia="Times New Roman" w:cs="CG Times (WN)"/>
      <w:color w:val="auto"/>
      <w:sz w:val="20"/>
      <w:szCs w:val="20"/>
      <w:lang w:val="en-US" w:eastAsia="zh-CN" w:bidi="hi-IN"/>
    </w:rPr>
  </w:style>
  <w:style w:type="paragraph" w:styleId="para">
    <w:name w:val="para"/>
    <w:qFormat/>
    <w:pPr>
      <w:widowControl/>
      <w:bidi w:val="0"/>
    </w:pPr>
    <w:rPr>
      <w:rFonts w:ascii="Times New Roman" w:hAnsi="Times New Roman" w:eastAsia="Times New Roman" w:cs="Times New Roman"/>
      <w:color w:val="auto"/>
      <w:sz w:val="22"/>
      <w:szCs w:val="20"/>
      <w:lang w:val="en-US" w:eastAsia="zh-CN" w:bidi="hi-IN"/>
    </w:rPr>
  </w:style>
  <w:style w:type="paragraph" w:styleId="section">
    <w:name w:val="section"/>
    <w:qFormat/>
    <w:pPr>
      <w:widowControl/>
      <w:bidi w:val="0"/>
    </w:pPr>
    <w:rPr>
      <w:rFonts w:ascii="Times New Roman" w:hAnsi="Times New Roman" w:eastAsia="Times New Roman" w:cs="Times New Roman"/>
      <w:color w:val="auto"/>
      <w:sz w:val="22"/>
      <w:szCs w:val="20"/>
      <w:lang w:val="en-US" w:eastAsia="zh-CN" w:bidi="hi-IN"/>
    </w:rPr>
  </w:style>
  <w:style w:type="paragraph" w:styleId="ListBullet">
    <w:name w:val="List Bullet"/>
    <w:basedOn w:val="Normal"/>
    <w:qFormat/>
    <w:pPr>
      <w:numPr>
        <w:ilvl w:val="0"/>
        <w:numId w:val="6"/>
      </w:numPr>
      <w:ind w:hanging="360" w:start="360" w:end="0"/>
    </w:pPr>
    <w:rPr/>
  </w:style>
  <w:style w:type="paragraph" w:styleId="Title">
    <w:name w:val="Title"/>
    <w:basedOn w:val="Normal"/>
    <w:next w:val="BodyText"/>
    <w:qFormat/>
    <w:pPr/>
    <w:rPr>
      <w:b/>
      <w:sz w:val="24"/>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EnvelopeAddress">
    <w:name w:val="envelope address"/>
    <w:basedOn w:val="Normal"/>
    <w:pPr>
      <w:ind w:hanging="0" w:start="2880" w:end="0"/>
    </w:pPr>
    <w:rPr>
      <w:rFonts w:ascii="Bell MT;Times New Roman" w:hAnsi="Bell MT;Times New Roman" w:cs="Bell MT;Times New Roman"/>
      <w:i/>
      <w:sz w:val="28"/>
    </w:rPr>
  </w:style>
  <w:style w:type="paragraph" w:styleId="EnvelopeReturn">
    <w:name w:val="envelope return"/>
    <w:basedOn w:val="Normal"/>
    <w:pPr/>
    <w:rPr>
      <w:rFonts w:ascii="Bell MT;Times New Roman" w:hAnsi="Bell MT;Times New Roman" w:cs="Bell MT;Times New Roman"/>
      <w:i/>
    </w:rPr>
  </w:style>
  <w:style w:type="paragraph" w:styleId="head1">
    <w:name w:val="head1"/>
    <w:basedOn w:val="Normal"/>
    <w:next w:val="Heading1"/>
    <w:qFormat/>
    <w:pPr>
      <w:numPr>
        <w:ilvl w:val="0"/>
        <w:numId w:val="7"/>
      </w:numPr>
      <w:tabs>
        <w:tab w:val="clear" w:pos="720"/>
      </w:tabs>
      <w:spacing w:before="120" w:after="120"/>
      <w:jc w:val="center"/>
    </w:pPr>
    <w:rPr>
      <w:b/>
      <w:sz w:val="24"/>
    </w:rPr>
  </w:style>
  <w:style w:type="paragraph" w:styleId="MessageHeader">
    <w:name w:val="Message Header"/>
    <w:basedOn w:val="Normal"/>
    <w:qFormat/>
    <w:pPr>
      <w:ind w:hanging="1080" w:start="1080" w:end="0"/>
    </w:pPr>
    <w:rPr>
      <w:sz w:val="24"/>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paragraph" w:styleId="BodyTextIndent">
    <w:name w:val="Body Text Indent"/>
    <w:basedOn w:val="Normal"/>
    <w:pPr>
      <w:tabs>
        <w:tab w:val="clear" w:pos="720"/>
        <w:tab w:val="left" w:pos="1440" w:leader="none"/>
      </w:tabs>
      <w:ind w:hanging="1890" w:start="1890" w:end="0"/>
      <w:jc w:val="start"/>
    </w:pPr>
    <w:rPr/>
  </w:style>
  <w:style w:type="paragraph" w:styleId="BodyTextIndent2">
    <w:name w:val="Body Text Indent 2"/>
    <w:basedOn w:val="Normal"/>
    <w:qFormat/>
    <w:pPr>
      <w:tabs>
        <w:tab w:val="clear" w:pos="720"/>
        <w:tab w:val="left" w:pos="1440" w:leader="none"/>
        <w:tab w:val="left" w:pos="2160" w:leader="none"/>
      </w:tabs>
      <w:ind w:hanging="2700" w:start="2700" w:end="0"/>
      <w:jc w:val="start"/>
    </w:pPr>
    <w:rPr/>
  </w:style>
  <w:style w:type="paragraph" w:styleId="BodyTextIndent3">
    <w:name w:val="Body Text Indent 3"/>
    <w:basedOn w:val="Normal"/>
    <w:qFormat/>
    <w:pPr>
      <w:ind w:firstLine="720" w:start="0" w:end="0"/>
      <w:jc w:val="start"/>
    </w:pPr>
    <w:rPr/>
  </w:style>
  <w:style w:type="paragraph" w:styleId="BodyText2">
    <w:name w:val="Body Text 2"/>
    <w:basedOn w:val="Normal"/>
    <w:qFormat/>
    <w:pPr>
      <w:tabs>
        <w:tab w:val="left" w:pos="-1980" w:leader="none"/>
        <w:tab w:val="left" w:pos="720" w:leader="none"/>
      </w:tabs>
    </w:pPr>
    <w:rPr>
      <w:b/>
    </w:rPr>
  </w:style>
  <w:style w:type="paragraph" w:styleId="DocumentMap">
    <w:name w:val="Document Map"/>
    <w:basedOn w:val="Normal"/>
    <w:qFormat/>
    <w:pPr>
      <w:shd w:fill="000080" w:val="clear"/>
    </w:pPr>
    <w:rPr>
      <w:rFonts w:ascii="Tahoma" w:hAnsi="Tahoma" w:cs="Tahoma"/>
    </w:rPr>
  </w:style>
  <w:style w:type="paragraph" w:styleId="DocID">
    <w:name w:val="DocID"/>
    <w:basedOn w:val="Normal"/>
    <w:qFormat/>
    <w:pPr>
      <w:jc w:val="start"/>
    </w:pPr>
    <w:rPr>
      <w:sz w:val="16"/>
      <w:lang w:val="en-CA"/>
    </w:rPr>
  </w:style>
  <w:style w:type="paragraph" w:styleId="BodyIndentB">
    <w:name w:val="Body Indent B"/>
    <w:basedOn w:val="Normal"/>
    <w:qFormat/>
    <w:pPr>
      <w:tabs>
        <w:tab w:val="clear" w:pos="720"/>
        <w:tab w:val="left" w:pos="-2400" w:leader="none"/>
      </w:tabs>
      <w:spacing w:lineRule="atLeast" w:line="240" w:before="120" w:after="120"/>
      <w:ind w:hanging="0" w:start="-2880" w:end="0"/>
      <w:jc w:val="start"/>
    </w:pPr>
    <w:rPr>
      <w:rFonts w:ascii="Palatino" w:hAnsi="Palatino" w:cs="Palatino"/>
      <w:kern w:val="2"/>
      <w:sz w:val="20"/>
    </w:rPr>
  </w:style>
  <w:style w:type="paragraph" w:styleId="BodyIndentC">
    <w:name w:val="Body Indent C"/>
    <w:basedOn w:val="Normal"/>
    <w:qFormat/>
    <w:pPr>
      <w:tabs>
        <w:tab w:val="clear" w:pos="720"/>
        <w:tab w:val="left" w:pos="-1800" w:leader="none"/>
      </w:tabs>
      <w:spacing w:lineRule="atLeast" w:line="240" w:before="120" w:after="0"/>
      <w:ind w:hanging="0" w:start="-2400" w:end="0"/>
      <w:jc w:val="start"/>
    </w:pPr>
    <w:rPr>
      <w:rFonts w:ascii="Palatino" w:hAnsi="Palatino" w:cs="Palatino"/>
      <w:kern w:val="2"/>
      <w:sz w:val="20"/>
    </w:rPr>
  </w:style>
  <w:style w:type="paragraph" w:styleId="Index3">
    <w:name w:val="index 3"/>
    <w:basedOn w:val="Normal"/>
    <w:next w:val="Normal"/>
    <w:pPr>
      <w:ind w:hanging="0" w:start="720" w:end="0"/>
      <w:jc w:val="start"/>
    </w:pPr>
    <w:rPr>
      <w:sz w:val="20"/>
    </w:rPr>
  </w:style>
  <w:style w:type="paragraph" w:styleId="BodyText3">
    <w:name w:val="Body Text 3"/>
    <w:basedOn w:val="Normal"/>
    <w:qFormat/>
    <w:pPr>
      <w:jc w:val="start"/>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footer" Target="footer12.xml"/><Relationship Id="rId26" Type="http://schemas.openxmlformats.org/officeDocument/2006/relationships/footer" Target="footer13.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power.dot</Template>
  <TotalTime>160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1999-12-15T12:53:00Z</dcterms:created>
  <dc:creator>Suzanne Kelly</dc:creator>
  <dc:description/>
  <dc:language>en-CA</dc:language>
  <cp:lastModifiedBy>rmalcol</cp:lastModifiedBy>
  <cp:lastPrinted>1999-12-15T20:19:00Z</cp:lastPrinted>
  <dcterms:modified xsi:type="dcterms:W3CDTF">1999-12-15T23:50:00Z</dcterms:modified>
  <cp:revision>11</cp:revision>
  <dc:subject>FORM</dc:subject>
  <dc:title>Power 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
    <vt:bool>1</vt:bool>
  </property>
</Properties>
</file>