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Comparison of ISDA Master Agreement dated December 2, 1992 between Merrill Lynch Capital Services, Inc. (“ML” or Party A) and ERMS (or Party B), as amended, with standard ENA Master ISDA currently in use</w:t>
      </w:r>
    </w:p>
    <w:p>
      <w:pPr>
        <w:pStyle w:val="Normal"/>
        <w:rPr>
          <w:sz w:val="22"/>
        </w:rPr>
      </w:pPr>
      <w:r>
        <w:rPr>
          <w:sz w:val="22"/>
        </w:rPr>
      </w:r>
    </w:p>
    <w:p>
      <w:pPr>
        <w:pStyle w:val="Normal"/>
        <w:rPr>
          <w:sz w:val="22"/>
        </w:rPr>
      </w:pPr>
      <w:r>
        <w:rPr>
          <w:sz w:val="22"/>
        </w:rPr>
        <w:t xml:space="preserve">         </w:t>
      </w:r>
      <w:r>
        <w:rPr>
          <w:sz w:val="22"/>
        </w:rPr>
        <w:t>Existing  ISDA Master                                           Standard ENA ISDA Master</w:t>
      </w:r>
    </w:p>
    <w:p>
      <w:pPr>
        <w:pStyle w:val="Normal"/>
        <w:rPr>
          <w:sz w:val="22"/>
        </w:rPr>
      </w:pPr>
      <w:r>
        <w:rPr>
          <w:sz w:val="22"/>
        </w:rPr>
        <w:tab/>
        <w:tab/>
        <w:tab/>
        <w:tab/>
        <w:t xml:space="preserve">                                          </w:t>
      </w:r>
    </w:p>
    <w:tbl>
      <w:tblPr>
        <w:tblW w:w="8640" w:type="dxa"/>
        <w:jc w:val="start"/>
        <w:tblInd w:w="0" w:type="dxa"/>
        <w:tblLayout w:type="fixed"/>
        <w:tblCellMar>
          <w:top w:w="0" w:type="dxa"/>
          <w:start w:w="108" w:type="dxa"/>
          <w:bottom w:w="0" w:type="dxa"/>
          <w:end w:w="108" w:type="dxa"/>
        </w:tblCellMar>
      </w:tblPr>
      <w:tblGrid>
        <w:gridCol w:w="4320"/>
        <w:gridCol w:w="4320"/>
      </w:tblGrid>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    Merrill Lynch &amp; Co, Inc./Enron Corp. designated as Specified Entities</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 Specified Entity</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    Threshold for both parties:  $25M</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$100M for ENA and Enron Corp. each</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    Section 5(a)(viii) merger without assumption to add “reorganization, reincorporation” language</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 change</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 </w:t>
            </w:r>
            <w:r>
              <w:rPr>
                <w:sz w:val="22"/>
              </w:rPr>
              <w:t>4.    Section 5(b) Credit Event Upon Merger not event if at least 50% outstanding equity directly or indirectly owned by CSP or wholly owned sub and credit in place</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Not event if survivor directly/indirectly owned by CSP and credit in place or transferor/transferee provides collateral satisfactory to non-transferring party</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 </w:t>
            </w:r>
            <w:r>
              <w:rPr>
                <w:sz w:val="22"/>
              </w:rPr>
              <w:t>5.    Market Quotation for Early Termination payments</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Loss (or limit on use of Market Quotation)</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 </w:t>
            </w:r>
            <w:r>
              <w:rPr>
                <w:sz w:val="22"/>
              </w:rPr>
              <w:t>6.    Notices to parties in 1992</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Different parties/fax numbers and D/F notice sent by fax</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 </w:t>
            </w:r>
            <w:r>
              <w:rPr>
                <w:sz w:val="22"/>
              </w:rPr>
              <w:t>7.    ML is Calculation Agent</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ENA is Calculation Agent</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 </w:t>
            </w:r>
            <w:r>
              <w:rPr>
                <w:sz w:val="22"/>
              </w:rPr>
              <w:t>8.    both parties have a guarantor</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use of guarantors is credit issue</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 </w:t>
            </w:r>
            <w:r>
              <w:rPr>
                <w:sz w:val="22"/>
              </w:rPr>
              <w:t>9.    no jurisdiction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arbitration</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    either party may assign to Affiliate on 2 Business Days’ prior written notice but credit must stay in place</w:t>
            </w:r>
          </w:p>
        </w:tc>
        <w:tc>
          <w:tcPr>
            <w:tcW w:w="4320" w:type="dxa"/>
            <w:tcBorders>
              <w:top w:val="single" w:sz="4" w:space="0" w:color="000000"/>
              <w:start w:val="single" w:sz="4" w:space="0" w:color="000000"/>
              <w:bottom w:val="single" w:sz="4" w:space="0" w:color="000000"/>
              <w:end w:val="single" w:sz="4" w:space="0" w:color="000000"/>
            </w:tcBorders>
          </w:tcPr>
          <w:p>
            <w:pPr>
              <w:pStyle w:val="Normal"/>
              <w:rPr/>
            </w:pPr>
            <w:r>
              <w:rPr>
                <w:sz w:val="22"/>
              </w:rPr>
              <w:t>either party may assign with prior written consent not unreasonably withheld BUT consent can be withheld for certain reasons, including assignment to Affiliate if credit not in place, assignment to 3</w:t>
            </w:r>
            <w:r>
              <w:rPr>
                <w:sz w:val="22"/>
                <w:vertAlign w:val="superscript"/>
              </w:rPr>
              <w:t>rd</w:t>
            </w:r>
            <w:r>
              <w:rPr>
                <w:sz w:val="22"/>
              </w:rPr>
              <w:t xml:space="preserve"> party with materially weaker credit, etc.</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11.    no Affiliate setoff</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Affiliate setoff</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12.    existence of agreement and Transactions confidential</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Transactions confidential</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13.    Section 3(c) litigation rep limited to party and CSP, and broadened to add regulatory</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Section 3© rep applies to party and Affiliates which is not a change to the ISDA</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14.    Section 3(d) rep amended to limit audited/unaudited fin. Statements to “fair presentation of fin. Condition”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 change from ISDA standard</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15.    Missing reps:  condition precedent (premium paid then no further payment obligation), trade option exemption</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16.    Reference Market Maker def. Restricted to dealer entering into transactions of a similar nature</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Delete part (b) of def. Which eliminates dealers having offices in same city</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adds def. Of “Annual Financial Statements”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18.    Procedures for entering into Transactions slightly different</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19.  no severability</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has severability</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20.    Def.  Of Settlement Amount changes</w:t>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21.    limitation on Default Rate</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limitation on Applicable Rate for payments of non-defaulting party</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22.    1993 Commodity Definitions added in the amendment</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Some changes from current changes to 1993 Commodity Definitions</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bl>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1999-12-17T12:23:00Z</dcterms:created>
  <dc:creator>Sara Shackleton</dc:creator>
  <dc:description/>
  <dc:language>en-CA</dc:language>
  <cp:lastModifiedBy>sshackl</cp:lastModifiedBy>
  <dcterms:modified xsi:type="dcterms:W3CDTF">1999-12-17T12:26:00Z</dcterms:modified>
  <cp:revision>5</cp:revision>
  <dc:subject/>
  <dc:title>Comparison of ISDA Master Agreement dated December 2, 1992 between Merrill Lynch Capital Services, Inc</dc:title>
</cp:coreProperties>
</file>