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CARIBBEAN BASIN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MONTHLY REPORT – OCTOBER,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COLOMBIA</w:t>
      </w:r>
      <w:r>
        <w:rPr>
          <w:rStyle w:val="FootnoteCharacters"/>
          <w:rStyle w:val="FootnoteReference"/>
          <w:b/>
          <w:sz w:val="24"/>
        </w:rPr>
        <w:footnoteReference w:id="2"/>
      </w:r>
      <w:r>
        <w:rPr>
          <w:b/>
          <w:sz w:val="24"/>
        </w:rPr>
        <w:t xml:space="preserve"> (Francisco Pinto Leite)</w:t>
      </w:r>
      <w:r>
        <w:rPr>
          <w:sz w:val="24"/>
        </w:rPr>
        <w:t xml:space="preserve"> - Work is being transitioned to Enron South America – 5% of Francisco Pinto-Leite’s time is being spent on the transition process.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rPr/>
      </w:pPr>
      <w:r>
        <w:rPr>
          <w:b/>
          <w:sz w:val="24"/>
        </w:rPr>
        <w:t>DOMINICAN REPUBLIC (Coralina Rivera)</w:t>
      </w:r>
      <w:r>
        <w:rPr>
          <w:sz w:val="24"/>
        </w:rPr>
        <w:t xml:space="preserve"> -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Smith Enron Cogeneration Limited Partnership (SECLP)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Boiler Issues with Ratheyon and Foster Wheeler, including related partner issues (Don Smith)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Payment issues with CDE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Litigation</w:t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>Costambar</w:t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>Berges</w:t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>Don Smith Lititgation (Supreme Court denied certiorari)</w:t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>Monte Cristi</w:t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Hotel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Payment to EECC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Definitive Agreement – Implementation with CDE and State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Sale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LNG w/ Union Fenosa</w:t>
      </w:r>
      <w:r>
        <w:rPr>
          <w:rStyle w:val="FootnoteCharacters"/>
          <w:rStyle w:val="FootnoteReference"/>
          <w:sz w:val="24"/>
        </w:rPr>
        <w:footnoteReference w:id="3"/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Terminal and Plant issues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Corporate Tax structure with partner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PPA – First draft this week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Cogentrix relationship – early stages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JAMAICA (Ned Crady) –</w:t>
      </w:r>
      <w:r>
        <w:rPr>
          <w:sz w:val="24"/>
        </w:rPr>
        <w:t xml:space="preserve"> Jamaica should require approximately 5% Ned Crady’s time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Industrial Gases Limited (IGL)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tax restructure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small acquisition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Power development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Sale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GUATEMALA (Francisco Pinto-Leite)</w:t>
      </w:r>
      <w:r>
        <w:rPr>
          <w:sz w:val="24"/>
        </w:rPr>
        <w:t xml:space="preserve"> – Puerto Quetzal Power 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Marad/OPIC Financing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Sale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NICARAGUA (Francisco Pinto-Leite)</w:t>
      </w:r>
      <w:r>
        <w:rPr>
          <w:sz w:val="24"/>
        </w:rPr>
        <w:t xml:space="preserve"> – Corinto</w:t>
      </w:r>
    </w:p>
    <w:p>
      <w:pPr>
        <w:pStyle w:val="Normal"/>
        <w:rPr>
          <w:sz w:val="24"/>
        </w:rPr>
      </w:pPr>
      <w:r>
        <w:rPr>
          <w:sz w:val="24"/>
        </w:rPr>
        <w:t>1.</w:t>
        <w:tab/>
        <w:t>Sale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PANAMA (Francisco Pinto-Leite) –</w:t>
      </w:r>
      <w:r>
        <w:rPr>
          <w:b w:val="false"/>
        </w:rPr>
        <w:t xml:space="preserve"> Bahia Las Minas</w:t>
      </w:r>
    </w:p>
    <w:p>
      <w:pPr>
        <w:pStyle w:val="Normal"/>
        <w:numPr>
          <w:ilvl w:val="0"/>
          <w:numId w:val="14"/>
        </w:numPr>
        <w:rPr>
          <w:sz w:val="24"/>
        </w:rPr>
      </w:pPr>
      <w:r>
        <w:rPr>
          <w:sz w:val="24"/>
        </w:rPr>
        <w:t>ENEL resolutions</w:t>
      </w:r>
    </w:p>
    <w:p>
      <w:pPr>
        <w:pStyle w:val="Normal"/>
        <w:numPr>
          <w:ilvl w:val="0"/>
          <w:numId w:val="14"/>
        </w:numPr>
        <w:rPr>
          <w:sz w:val="24"/>
        </w:rPr>
      </w:pPr>
      <w:r>
        <w:rPr>
          <w:sz w:val="24"/>
        </w:rPr>
        <w:t>Sale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PUERTO RICO</w:t>
      </w:r>
      <w:r>
        <w:rPr>
          <w:rStyle w:val="FootnoteCharacters"/>
          <w:rStyle w:val="FootnoteReference"/>
          <w:b/>
          <w:sz w:val="24"/>
        </w:rPr>
        <w:footnoteReference w:id="4"/>
      </w:r>
      <w:r>
        <w:rPr>
          <w:b/>
          <w:sz w:val="24"/>
        </w:rPr>
        <w:t xml:space="preserve"> (Coralina Rivera) </w:t>
      </w:r>
      <w:r>
        <w:rPr>
          <w:sz w:val="24"/>
        </w:rPr>
        <w:t>–</w:t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>EcoElectrica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Project Tammy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PREPA payment issues – agreement to arbitrate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Siemens/Westinghouse warranty issue (including ramifications with lenders and underwriters)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Retainage provisions with EECC</w:t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>Retail LNG Project – development</w:t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Progasco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Four former employee claims</w:t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San Juan Gas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Litigation concerning Rio Piedras litigation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VENEZUELA</w:t>
      </w:r>
      <w:r>
        <w:rPr>
          <w:rStyle w:val="FootnoteCharacters"/>
          <w:rStyle w:val="FootnoteReference"/>
        </w:rPr>
        <w:footnoteReference w:id="5"/>
      </w:r>
      <w:r>
        <w:rPr/>
        <w:t xml:space="preserve"> (Ned Crady) –</w:t>
      </w:r>
      <w:r>
        <w:rPr>
          <w:b w:val="false"/>
        </w:rPr>
        <w:t xml:space="preserve"> Ned Crady will devote a percentage of his time to each of these projects during the transition period.  That percentage appears in parentheses following each project.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Accro $132 million Ex-Im Financing (25%)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Accro restructure (2.5%)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Venezuela LNG Liquefaction Facility (2.5%)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Bank License for Compression Projects Finance (2.5%)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______________________________</w:t>
      </w:r>
    </w:p>
    <w:p>
      <w:pPr>
        <w:pStyle w:val="Normal"/>
        <w:rPr/>
      </w:pPr>
      <w:r>
        <w:rPr>
          <w:sz w:val="24"/>
        </w:rPr>
        <w:br/>
      </w:r>
      <w:r>
        <w:rPr>
          <w:b/>
          <w:sz w:val="24"/>
        </w:rPr>
        <w:t>Barge Project (Ned Crady)</w:t>
      </w:r>
      <w:r>
        <w:rPr>
          <w:sz w:val="24"/>
        </w:rPr>
        <w:t xml:space="preserve"> – Sale of 4 fuel barges and 2 power barges that will take approximately 5% of Ned Crady’s time.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2240" w:h="15840"/>
      <w:pgMar w:left="1800" w:right="180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Colombia has already transitioned to Enron South America.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This is an LNG project that will follow Coralina to EGM following the transition period.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All of the projects in Puerto Rico will follow Coralina to EGM following the transition period.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Venezuela has already transitioned to Enron South America.  While the Accro restructuring and the closing of the Ex-Im financing for Accro are Enron South America project are Enron South America projects, they will continue to be serviced by Ned Crady. The responsibility for all LNG-related projects will reside in EGM.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3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10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11">
    <w:lvl w:ilvl="0">
      <w:start w:val="1"/>
      <w:numFmt w:val="decimal"/>
      <w:lvlText w:val="(%1)"/>
      <w:lvlJc w:val="start"/>
      <w:pPr>
        <w:tabs>
          <w:tab w:val="num" w:pos="2160"/>
        </w:tabs>
        <w:ind w:start="2160" w:hanging="72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>
      <w:sz w:val="24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2000-10-19T18:54:00Z</dcterms:created>
  <dc:creator>Enron</dc:creator>
  <dc:description/>
  <dc:language>en-CA</dc:language>
  <cp:lastModifiedBy>Enron</cp:lastModifiedBy>
  <cp:lastPrinted>2000-10-19T16:26:00Z</cp:lastPrinted>
  <dcterms:modified xsi:type="dcterms:W3CDTF">2000-10-19T23:05:00Z</dcterms:modified>
  <cp:revision>7</cp:revision>
  <dc:subject/>
  <dc:title>ENRON CARIBBEAN BASIN</dc:title>
</cp:coreProperties>
</file>