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Legal Department</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Trading and Transaction Report</w:t>
      </w:r>
    </w:p>
    <w:p>
      <w:pPr>
        <w:pStyle w:val="Heading3"/>
        <w:ind w:hanging="0" w:start="0"/>
        <w:rPr>
          <w:sz w:val="24"/>
        </w:rPr>
      </w:pPr>
      <w:r>
        <w:rPr>
          <w:sz w:val="24"/>
        </w:rPr>
        <w:t>October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Heading9"/>
        <w:ind w:hanging="0" w:start="0"/>
        <w:rPr/>
      </w:pPr>
      <w:r>
        <w:rPr/>
        <w:t>Enron Wholesale Services</w:t>
      </w:r>
    </w:p>
    <w:p>
      <w:pPr>
        <w:pStyle w:val="Heading3"/>
        <w:ind w:hanging="0" w:start="0"/>
        <w:rPr>
          <w:sz w:val="24"/>
        </w:rPr>
      </w:pPr>
      <w:r>
        <w:rPr>
          <w:sz w:val="24"/>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344" w:leader="none"/>
          <w:tab w:val="left" w:pos="5106" w:leader="none"/>
          <w:tab w:val="left" w:pos="7254" w:leader="none"/>
          <w:tab w:val="left" w:pos="10080" w:leader="none"/>
        </w:tabs>
        <w:ind w:end="-306"/>
        <w:jc w:val="both"/>
        <w:rPr>
          <w:rFonts w:ascii="Times New Roman" w:hAnsi="Times New Roman" w:cs="Times New Roman"/>
          <w:sz w:val="24"/>
        </w:rPr>
      </w:pPr>
      <w:r>
        <w:rPr>
          <w:rFonts w:cs="Times New Roman" w:ascii="Times New Roman" w:hAnsi="Times New Roman"/>
          <w:sz w:val="24"/>
        </w:rPr>
        <w:t>This report summarizes current significant legal activities of ENA as of October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TRADING</w:t>
      </w:r>
    </w:p>
    <w:p>
      <w:pPr>
        <w:pStyle w:val="Normal"/>
        <w:widowControl/>
        <w:tabs>
          <w:tab w:val="clear" w:pos="720"/>
          <w:tab w:val="left" w:pos="1344" w:leader="none"/>
          <w:tab w:val="left" w:pos="5106" w:leader="none"/>
          <w:tab w:val="left" w:pos="7254" w:leader="none"/>
        </w:tabs>
        <w:rPr>
          <w:rFonts w:ascii="Times New Roman" w:hAnsi="Times New Roman" w:cs="Times New Roman"/>
          <w:sz w:val="24"/>
        </w:rPr>
      </w:pPr>
      <w:r>
        <w:rPr>
          <w:rFonts w:cs="Times New Roman" w:ascii="Times New Roman" w:hAnsi="Times New Roman"/>
          <w:sz w:val="24"/>
        </w:rPr>
      </w:r>
    </w:p>
    <w:p>
      <w:pPr>
        <w:pStyle w:val="Heading5"/>
        <w:ind w:hanging="0" w:start="0"/>
        <w:rPr/>
      </w:pPr>
      <w:r>
        <w:rPr>
          <w:sz w:val="24"/>
          <w:u w:val="none"/>
        </w:rPr>
        <w:tab/>
      </w:r>
      <w:r>
        <w:rPr>
          <w:sz w:val="24"/>
        </w:rPr>
        <w:t>Houston</w:t>
      </w:r>
    </w:p>
    <w:p>
      <w:pPr>
        <w:pStyle w:val="Normal"/>
        <w:keepNext w:val="true"/>
        <w:keepLines/>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Power Contract Revision Project</w:t>
      </w:r>
    </w:p>
    <w:p>
      <w:pPr>
        <w:pStyle w:val="Normal"/>
        <w:keepNext w:val="true"/>
        <w:keepLines/>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Kevin Presto/Elizabeth Sager/Jeff Hodge</w:t>
      </w:r>
    </w:p>
    <w:p>
      <w:pPr>
        <w:pStyle w:val="Normal"/>
        <w:keepNext w:val="true"/>
        <w:keepLines/>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is reviewing certain high exposure power contracts for revision and conversion to EEI</w:t>
      </w:r>
    </w:p>
    <w:p>
      <w:pPr>
        <w:pStyle w:val="Normal"/>
        <w:keepNext w:val="true"/>
        <w:keepLines/>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Gas Contract Revision Project</w:t>
      </w:r>
    </w:p>
    <w:p>
      <w:pPr>
        <w:pStyle w:val="Normal"/>
        <w:keepNext w:val="true"/>
        <w:keepLines/>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 xml:space="preserve">Brent Price/Jeff Hodge/Stacy Dickson </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ENA is reviewing certain high volume trading contracts for possible revision</w:t>
      </w:r>
    </w:p>
    <w:p>
      <w:pPr>
        <w:pStyle w:val="Normal"/>
        <w:keepNext w:val="true"/>
        <w:keepLines/>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Duke Energy LNG Sales, Inc.</w:t>
      </w:r>
    </w:p>
    <w:p>
      <w:pPr>
        <w:pStyle w:val="Normal"/>
        <w:keepNext w:val="true"/>
        <w:keepLines/>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Janet Dietrich/Jeff Hodge/Richard Sanders (Susman &amp; Godfrey)</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Contract negotiation regarding revising a long-term gas contract</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r>
    </w:p>
    <w:p>
      <w:pPr>
        <w:pStyle w:val="Normal"/>
        <w:keepNext w:val="true"/>
        <w:keepLines/>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Enron Wind/Indian Mesa</w:t>
      </w:r>
    </w:p>
    <w:p>
      <w:pPr>
        <w:pStyle w:val="Normal"/>
        <w:keepNext w:val="true"/>
        <w:keepLines/>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Mike Curry/David Portz</w:t>
      </w:r>
    </w:p>
    <w:p>
      <w:pPr>
        <w:pStyle w:val="Normal"/>
        <w:keepNext w:val="true"/>
        <w:keepLines/>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is negotiating with Indian Mesa, a wholly owned subsidiary of Enron Wind, for a 20-year deal involving the purchase of up to 494,000 MWh per year from a wind facility to be constructed in Pecos County, Texas</w:t>
      </w:r>
    </w:p>
    <w:p>
      <w:pPr>
        <w:pStyle w:val="Heading5"/>
        <w:spacing w:before="120" w:after="0"/>
        <w:ind w:hanging="0" w:start="0"/>
        <w:rPr/>
      </w:pPr>
      <w:r>
        <w:rPr>
          <w:sz w:val="24"/>
          <w:u w:val="none"/>
        </w:rPr>
        <w:tab/>
      </w:r>
      <w:r>
        <w:rPr>
          <w:sz w:val="24"/>
        </w:rPr>
        <w:t>Financial</w:t>
      </w:r>
    </w:p>
    <w:p>
      <w:pPr>
        <w:pStyle w:val="Normal"/>
        <w:keepLines/>
        <w:numPr>
          <w:ilvl w:val="0"/>
          <w:numId w:val="18"/>
        </w:numPr>
        <w:tabs>
          <w:tab w:val="clear" w:pos="720"/>
        </w:tabs>
        <w:spacing w:before="120" w:after="0"/>
        <w:ind w:hanging="360" w:start="1080" w:end="0"/>
        <w:rPr>
          <w:rFonts w:ascii="Times New Roman" w:hAnsi="Times New Roman" w:cs="Times New Roman"/>
          <w:sz w:val="24"/>
        </w:rPr>
      </w:pPr>
      <w:r>
        <w:rPr>
          <w:rFonts w:cs="Times New Roman" w:ascii="Times New Roman" w:hAnsi="Times New Roman"/>
          <w:sz w:val="24"/>
        </w:rPr>
        <w:t>Agricultural Commodities Trading</w:t>
      </w:r>
    </w:p>
    <w:p>
      <w:pPr>
        <w:pStyle w:val="Normal"/>
        <w:keepLines/>
        <w:tabs>
          <w:tab w:val="clear" w:pos="720"/>
          <w:tab w:val="left" w:pos="1260" w:leader="none"/>
        </w:tabs>
        <w:ind w:hanging="540" w:start="1620" w:end="0"/>
        <w:rPr>
          <w:rFonts w:ascii="Times New Roman" w:hAnsi="Times New Roman" w:cs="Times New Roman"/>
          <w:sz w:val="24"/>
        </w:rPr>
      </w:pPr>
      <w:r>
        <w:rPr>
          <w:rFonts w:cs="Times New Roman" w:ascii="Times New Roman" w:hAnsi="Times New Roman"/>
          <w:sz w:val="24"/>
        </w:rPr>
        <w:t>-</w:t>
        <w:tab/>
        <w:t>Gary Hickerson/Sara Shackleton/Robert Bruce</w:t>
      </w:r>
    </w:p>
    <w:p>
      <w:pPr>
        <w:pStyle w:val="EndnoteText"/>
        <w:keepLines/>
        <w:numPr>
          <w:ilvl w:val="1"/>
          <w:numId w:val="18"/>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keepLines/>
        <w:numPr>
          <w:ilvl w:val="0"/>
          <w:numId w:val="1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Online Trading – North America</w:t>
      </w:r>
    </w:p>
    <w:p>
      <w:pPr>
        <w:pStyle w:val="Normal"/>
        <w:keepLines/>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Louise Kitchen/Mark Taylor/Leslie Hansen (Milbank Tweed Hadley &amp; McCloy)</w:t>
      </w:r>
    </w:p>
    <w:p>
      <w:pPr>
        <w:pStyle w:val="EndnoteText"/>
        <w:keepLines/>
        <w:numPr>
          <w:ilvl w:val="1"/>
          <w:numId w:val="18"/>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Preparation of agreements for broker access and posting products offered by non-Enron parties.  Negotiating exceptions to standard online forms and approving language and documentation for new products</w:t>
      </w:r>
      <w:r>
        <w:br w:type="page"/>
      </w:r>
    </w:p>
    <w:p>
      <w:pPr>
        <w:pStyle w:val="Normal"/>
        <w:keepLines/>
        <w:numPr>
          <w:ilvl w:val="0"/>
          <w:numId w:val="1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Enron Corp. ISDA Master Agreements</w:t>
      </w:r>
    </w:p>
    <w:p>
      <w:pPr>
        <w:pStyle w:val="Normal"/>
        <w:keepLines/>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Clint Freeland/Sara Shackleton</w:t>
      </w:r>
    </w:p>
    <w:p>
      <w:pPr>
        <w:pStyle w:val="EndnoteText"/>
        <w:keepLines/>
        <w:numPr>
          <w:ilvl w:val="1"/>
          <w:numId w:val="18"/>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Normal"/>
        <w:keepLines/>
        <w:numPr>
          <w:ilvl w:val="0"/>
          <w:numId w:val="1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Commodity Exchange Act</w:t>
      </w:r>
    </w:p>
    <w:p>
      <w:pPr>
        <w:pStyle w:val="Normal"/>
        <w:keepLines/>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John Lavorato/Mark Haedicke/Mark Taylor (Sullivan &amp; Cromwell)</w:t>
      </w:r>
    </w:p>
    <w:p>
      <w:pPr>
        <w:pStyle w:val="EndnoteText"/>
        <w:keepLines/>
        <w:numPr>
          <w:ilvl w:val="1"/>
          <w:numId w:val="18"/>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Monitoring legislative developments and lobbying in connection with proposed revision of the Commodity Exchange Act</w:t>
      </w:r>
    </w:p>
    <w:p>
      <w:pPr>
        <w:pStyle w:val="Heading5"/>
        <w:keepLines/>
        <w:spacing w:before="120" w:after="0"/>
        <w:ind w:hanging="0" w:start="0"/>
        <w:jc w:val="both"/>
        <w:rPr/>
      </w:pPr>
      <w:r>
        <w:rPr>
          <w:sz w:val="24"/>
          <w:u w:val="none"/>
        </w:rPr>
        <w:tab/>
      </w:r>
      <w:r>
        <w:rPr>
          <w:sz w:val="24"/>
        </w:rPr>
        <w:t>Portland</w:t>
      </w:r>
    </w:p>
    <w:p>
      <w:pPr>
        <w:pStyle w:val="Normal"/>
        <w:keepNext w:val="true"/>
        <w:keepLines/>
        <w:numPr>
          <w:ilvl w:val="0"/>
          <w:numId w:val="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City of Vernon</w:t>
      </w:r>
    </w:p>
    <w:p>
      <w:pPr>
        <w:pStyle w:val="Normal"/>
        <w:keepNext w:val="true"/>
        <w:keepLines/>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Yoder/Elizabeth Sager/Richard Sanders</w:t>
      </w:r>
    </w:p>
    <w:p>
      <w:pPr>
        <w:pStyle w:val="EndnoteText"/>
        <w:keepNext w:val="true"/>
        <w:keepLines/>
        <w:numPr>
          <w:ilvl w:val="1"/>
          <w:numId w:val="18"/>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City of Vernon refused to honor a 10-year trade entered into with EPMI claiming the transaction was unauthorized.  EPMI is investigating its legal options.</w:t>
      </w:r>
    </w:p>
    <w:p>
      <w:pPr>
        <w:pStyle w:val="Normal"/>
        <w:keepNext w:val="true"/>
        <w:keepLines/>
        <w:numPr>
          <w:ilvl w:val="0"/>
          <w:numId w:val="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BPA</w:t>
      </w:r>
    </w:p>
    <w:p>
      <w:pPr>
        <w:pStyle w:val="Normal"/>
        <w:keepNext w:val="true"/>
        <w:keepLines/>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Yoder//Richard Sanders</w:t>
      </w:r>
    </w:p>
    <w:p>
      <w:pPr>
        <w:pStyle w:val="EndnoteText"/>
        <w:keepNext w:val="true"/>
        <w:keepLines/>
        <w:numPr>
          <w:ilvl w:val="1"/>
          <w:numId w:val="18"/>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w:t>
      </w:r>
    </w:p>
    <w:p>
      <w:pPr>
        <w:pStyle w:val="Normal"/>
        <w:keepNext w:val="true"/>
        <w:keepLines/>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t>EAST ORIGINATION</w:t>
      </w:r>
    </w:p>
    <w:p>
      <w:pPr>
        <w:pStyle w:val="Normal"/>
        <w:keepNext w:val="true"/>
        <w:keepLines/>
        <w:widowControl/>
        <w:numPr>
          <w:ilvl w:val="0"/>
          <w:numId w:val="12"/>
        </w:numPr>
        <w:tabs>
          <w:tab w:val="clear" w:pos="720"/>
          <w:tab w:val="left" w:pos="1080" w:leader="none"/>
          <w:tab w:val="left" w:pos="126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Off balance sheet financing and equity sell-down of 1999 and 2000 peakers power plants and 2001 development projects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keepNext w:val="true"/>
        <w:keepLines/>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Data room has been established and potential counterparties identified</w:t>
      </w:r>
    </w:p>
    <w:p>
      <w:pPr>
        <w:pStyle w:val="Normal"/>
        <w:keepNext w:val="true"/>
        <w:keepLines/>
        <w:widowControl/>
        <w:numPr>
          <w:ilvl w:val="0"/>
          <w:numId w:val="12"/>
        </w:numPr>
        <w:tabs>
          <w:tab w:val="clear" w:pos="720"/>
          <w:tab w:val="left" w:pos="1080" w:leader="none"/>
          <w:tab w:val="left" w:pos="126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Expansion of Linden Power Plant (East Coast Power) and LV Cogen Plant and equity sell-down</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Lisa Mellencamp/Dale Rasmussen</w:t>
      </w:r>
    </w:p>
    <w:p>
      <w:pPr>
        <w:pStyle w:val="BodyText"/>
        <w:keepNext w:val="true"/>
        <w:keepLines/>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Negotiation of agreements for the construction and the permitting of expansions underway</w:t>
      </w:r>
    </w:p>
    <w:p>
      <w:pPr>
        <w:pStyle w:val="Normal"/>
        <w:keepNext w:val="true"/>
        <w:keepLines/>
        <w:widowControl/>
        <w:numPr>
          <w:ilvl w:val="0"/>
          <w:numId w:val="12"/>
        </w:numPr>
        <w:tabs>
          <w:tab w:val="clear" w:pos="720"/>
          <w:tab w:val="left" w:pos="1080" w:leader="none"/>
          <w:tab w:val="left" w:pos="126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Fuel Cell Joint Venture</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 xml:space="preserve">- </w:t>
        <w:tab/>
        <w:t>Kay Mann</w:t>
      </w:r>
    </w:p>
    <w:p>
      <w:pPr>
        <w:pStyle w:val="BodyText"/>
        <w:keepNext w:val="true"/>
        <w:keepLines/>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Documentation is being finalized. </w:t>
      </w:r>
      <w:r>
        <w:br w:type="page"/>
      </w:r>
    </w:p>
    <w:p>
      <w:pPr>
        <w:pStyle w:val="Normal"/>
        <w:keepNext w:val="true"/>
        <w:keepLines/>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t>WEST ORIGINATION</w:t>
      </w:r>
    </w:p>
    <w:p>
      <w:pPr>
        <w:pStyle w:val="Normal"/>
        <w:keepNext w:val="true"/>
        <w:keepLines/>
        <w:widowControl/>
        <w:numPr>
          <w:ilvl w:val="0"/>
          <w:numId w:val="1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Development of Pastoria Energy Facility and equity sell-down – 750 MW combined cycle plant in southern California</w:t>
      </w:r>
    </w:p>
    <w:p>
      <w:pPr>
        <w:pStyle w:val="Normal"/>
        <w:keepNext w:val="true"/>
        <w:keepLines/>
        <w:widowControl/>
        <w:tabs>
          <w:tab w:val="clear" w:pos="720"/>
          <w:tab w:val="left" w:pos="1260" w:leader="none"/>
        </w:tabs>
        <w:ind w:hanging="360" w:start="1440" w:end="0"/>
        <w:jc w:val="both"/>
        <w:rPr>
          <w:rFonts w:ascii="Times New Roman" w:hAnsi="Times New Roman" w:cs="Times New Roman"/>
          <w:sz w:val="24"/>
        </w:rPr>
      </w:pPr>
      <w:r>
        <w:rPr>
          <w:rFonts w:cs="Times New Roman" w:ascii="Times New Roman" w:hAnsi="Times New Roman"/>
          <w:sz w:val="24"/>
        </w:rPr>
        <w:t>-</w:t>
        <w:tab/>
        <w:t>Karen Jones/Sheila Tweed</w:t>
      </w:r>
    </w:p>
    <w:p>
      <w:pPr>
        <w:pStyle w:val="Normal"/>
        <w:keepNext w:val="true"/>
        <w:keepLines/>
        <w:widowControl/>
        <w:numPr>
          <w:ilvl w:val="0"/>
          <w:numId w:val="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Finalizing outstanding requirements of the California Energy Commission for permits that are expected to be received by 12/2000</w:t>
      </w:r>
    </w:p>
    <w:p>
      <w:pPr>
        <w:pStyle w:val="Normal"/>
        <w:keepNext w:val="true"/>
        <w:keepLines/>
        <w:widowControl/>
        <w:numPr>
          <w:ilvl w:val="0"/>
          <w:numId w:val="1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Development of multiple sites for power plant development in Florida, Washington, Colorado, Louisiana, Georgia and Missouri</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Carter/Bart Clark/Kay Mann/Karen Jones/Al Larsen</w:t>
      </w:r>
    </w:p>
    <w:p>
      <w:pPr>
        <w:pStyle w:val="BodyText"/>
        <w:keepNext w:val="true"/>
        <w:keepLines/>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sites, turbines and getting permits for 5 to 7 projects</w:t>
      </w:r>
    </w:p>
    <w:p>
      <w:pPr>
        <w:pStyle w:val="Normal"/>
        <w:keepNext w:val="true"/>
        <w:keepLines/>
        <w:widowControl/>
        <w:numPr>
          <w:ilvl w:val="0"/>
          <w:numId w:val="1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Development of four to six peaker projects in California for reliability contracts with California ISO</w:t>
      </w:r>
    </w:p>
    <w:p>
      <w:pPr>
        <w:pStyle w:val="BodyText"/>
        <w:keepNext w:val="true"/>
        <w:keepLines/>
        <w:widowControl/>
        <w:numPr>
          <w:ilvl w:val="0"/>
          <w:numId w:val="9"/>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Dale Rasmussen/Al Larsen/Sheila Tweed</w:t>
      </w:r>
    </w:p>
    <w:p>
      <w:pPr>
        <w:pStyle w:val="BodyText"/>
        <w:keepNext w:val="true"/>
        <w:keepLines/>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These projects have been selected in an auction process by the ISO for completion in Summer 2001.</w:t>
      </w:r>
    </w:p>
    <w:p>
      <w:pPr>
        <w:pStyle w:val="Normal"/>
        <w:keepNext w:val="true"/>
        <w:keepLines/>
        <w:widowControl/>
        <w:numPr>
          <w:ilvl w:val="0"/>
          <w:numId w:val="1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 xml:space="preserve">Power Plant Development in Colorado for long-term PPA with PSCO.  </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Al Larsen</w:t>
      </w:r>
    </w:p>
    <w:p>
      <w:pPr>
        <w:pStyle w:val="BodyText"/>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PPA has been executed.  Project is in development for 2001 start date.</w:t>
      </w:r>
    </w:p>
    <w:p>
      <w:pPr>
        <w:pStyle w:val="Normal"/>
        <w:keepNext w:val="true"/>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t>UPSTREAM ORIGINATION AND HPL</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Project Triple Lutz – Sale of HPL and related assets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keepNext w:val="true"/>
        <w:keepLines/>
        <w:widowControl/>
        <w:tabs>
          <w:tab w:val="clear" w:pos="720"/>
          <w:tab w:val="left" w:pos="1260" w:leader="none"/>
        </w:tabs>
        <w:ind w:hanging="1080" w:start="2160" w:end="0"/>
        <w:rPr/>
      </w:pPr>
      <w:r>
        <w:rPr>
          <w:rFonts w:cs="Times New Roman" w:ascii="Times New Roman" w:hAnsi="Times New Roman"/>
          <w:sz w:val="24"/>
        </w:rPr>
        <w:t>-</w:t>
        <w:tab/>
        <w:t>Update:</w:t>
        <w:tab/>
        <w:t>Negotiating with two potential purchasers; any closing would be in 1</w:t>
      </w:r>
      <w:r>
        <w:rPr>
          <w:rFonts w:cs="Times New Roman" w:ascii="Times New Roman" w:hAnsi="Times New Roman"/>
          <w:sz w:val="24"/>
          <w:vertAlign w:val="superscript"/>
        </w:rPr>
        <w:t>st</w:t>
      </w:r>
      <w:r>
        <w:rPr>
          <w:rFonts w:cs="Times New Roman" w:ascii="Times New Roman" w:hAnsi="Times New Roman"/>
          <w:sz w:val="24"/>
        </w:rPr>
        <w:t>/2</w:t>
      </w:r>
      <w:r>
        <w:rPr>
          <w:rFonts w:cs="Times New Roman" w:ascii="Times New Roman" w:hAnsi="Times New Roman"/>
          <w:sz w:val="24"/>
          <w:vertAlign w:val="superscript"/>
        </w:rPr>
        <w:t>nd</w:t>
      </w:r>
      <w:r>
        <w:rPr>
          <w:rFonts w:cs="Times New Roman" w:ascii="Times New Roman" w:hAnsi="Times New Roman"/>
          <w:sz w:val="24"/>
        </w:rPr>
        <w:t xml:space="preserve"> quarter 2001</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Project 20/20 - Sale of Wyoming gathering assets/entities to Northern Border</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Shonnie Daniel</w:t>
      </w:r>
    </w:p>
    <w:p>
      <w:pPr>
        <w:pStyle w:val="BodyText"/>
        <w:keepNext w:val="true"/>
        <w:keepLines/>
        <w:widowControl/>
        <w:tabs>
          <w:tab w:val="clear" w:pos="720"/>
          <w:tab w:val="left" w:pos="1260" w:leader="none"/>
        </w:tabs>
        <w:ind w:hanging="1080" w:start="2160" w:end="0"/>
        <w:rPr/>
      </w:pPr>
      <w:r>
        <w:rPr>
          <w:rFonts w:cs="Times New Roman" w:ascii="Times New Roman" w:hAnsi="Times New Roman"/>
          <w:sz w:val="24"/>
        </w:rPr>
        <w:t>-</w:t>
        <w:tab/>
        <w:t>Update:</w:t>
        <w:tab/>
        <w:t>Project closed – 3</w:t>
      </w:r>
      <w:r>
        <w:rPr>
          <w:rFonts w:cs="Times New Roman" w:ascii="Times New Roman" w:hAnsi="Times New Roman"/>
          <w:sz w:val="24"/>
          <w:vertAlign w:val="superscript"/>
        </w:rPr>
        <w:t>rd</w:t>
      </w:r>
      <w:r>
        <w:rPr>
          <w:rFonts w:cs="Times New Roman" w:ascii="Times New Roman" w:hAnsi="Times New Roman"/>
          <w:sz w:val="24"/>
        </w:rPr>
        <w:t xml:space="preserve"> quarter</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NEWCO</w:t>
      </w:r>
      <w:r>
        <w:rPr>
          <w:rFonts w:cs="Times New Roman" w:ascii="Times New Roman" w:hAnsi="Times New Roman"/>
          <w:sz w:val="24"/>
          <w:vertAlign w:val="subscript"/>
        </w:rPr>
        <w:t xml:space="preserve">2 </w:t>
      </w:r>
      <w:r>
        <w:rPr>
          <w:rFonts w:cs="Times New Roman" w:ascii="Times New Roman" w:hAnsi="Times New Roman"/>
          <w:sz w:val="24"/>
        </w:rPr>
        <w:t>- Purchase of interests in CO</w:t>
      </w:r>
      <w:r>
        <w:rPr>
          <w:rFonts w:cs="Times New Roman" w:ascii="Times New Roman" w:hAnsi="Times New Roman"/>
          <w:sz w:val="24"/>
          <w:vertAlign w:val="subscript"/>
        </w:rPr>
        <w:t>2</w:t>
      </w:r>
      <w:r>
        <w:rPr>
          <w:rFonts w:cs="Times New Roman" w:ascii="Times New Roman" w:hAnsi="Times New Roman"/>
          <w:sz w:val="24"/>
        </w:rPr>
        <w:t xml:space="preserve"> ventures</w:t>
      </w:r>
    </w:p>
    <w:p>
      <w:pPr>
        <w:pStyle w:val="Normal"/>
        <w:keepNext w:val="true"/>
        <w:keepLines/>
        <w:widowControl/>
        <w:numPr>
          <w:ilvl w:val="0"/>
          <w:numId w:val="9"/>
        </w:numPr>
        <w:tabs>
          <w:tab w:val="clear" w:pos="720"/>
          <w:tab w:val="left" w:pos="1260" w:leader="none"/>
        </w:tabs>
        <w:jc w:val="both"/>
        <w:rPr>
          <w:rFonts w:ascii="Times New Roman" w:hAnsi="Times New Roman" w:cs="Times New Roman"/>
          <w:sz w:val="24"/>
        </w:rPr>
      </w:pPr>
      <w:r>
        <w:rPr>
          <w:rFonts w:cs="Times New Roman" w:ascii="Times New Roman" w:hAnsi="Times New Roman"/>
          <w:sz w:val="24"/>
        </w:rPr>
        <w:t>Shonnie Daniel</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Project in structuring phase</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LIPA Power Sale scrapped; barges to be sold</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Lined Rock Cavern Gas Storage – Acquisition of IP rights to develop worldwide gas storage caverns</w:t>
      </w:r>
    </w:p>
    <w:p>
      <w:pPr>
        <w:pStyle w:val="Normal"/>
        <w:keepNext w:val="true"/>
        <w:keepLines/>
        <w:widowControl/>
        <w:numPr>
          <w:ilvl w:val="0"/>
          <w:numId w:val="9"/>
        </w:numPr>
        <w:tabs>
          <w:tab w:val="clear" w:pos="720"/>
          <w:tab w:val="left" w:pos="1080" w:leader="none"/>
          <w:tab w:val="left" w:pos="1260" w:leader="none"/>
        </w:tabs>
        <w:jc w:val="both"/>
        <w:rPr>
          <w:rFonts w:ascii="Times New Roman" w:hAnsi="Times New Roman" w:cs="Times New Roman"/>
          <w:sz w:val="24"/>
        </w:rPr>
      </w:pPr>
      <w:r>
        <w:rPr>
          <w:rFonts w:cs="Times New Roman" w:ascii="Times New Roman" w:hAnsi="Times New Roman"/>
          <w:sz w:val="24"/>
        </w:rPr>
        <w:t>Steve Van Hooser</w:t>
      </w:r>
    </w:p>
    <w:p>
      <w:pPr>
        <w:pStyle w:val="Normal"/>
        <w:keepNext w:val="true"/>
        <w:keepLines/>
        <w:widowControl/>
        <w:numPr>
          <w:ilvl w:val="0"/>
          <w:numId w:val="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MOU to be executed</w:t>
      </w:r>
      <w:r>
        <w:br w:type="page"/>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HPL Accounting Department</w:t>
      </w:r>
    </w:p>
    <w:p>
      <w:pPr>
        <w:pStyle w:val="EndnoteText"/>
        <w:keepNext w:val="true"/>
        <w:keepLines/>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6/30/00 staff auditors of the RRC issued a letter finding various deficiencies in accounting systems</w:t>
      </w:r>
    </w:p>
    <w:p>
      <w:pPr>
        <w:pStyle w:val="Normal"/>
        <w:keepNext w:val="true"/>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t>FINANCE/M&amp;A/ENERGY INVESTMENTS</w:t>
      </w:r>
    </w:p>
    <w:p>
      <w:pPr>
        <w:pStyle w:val="Normal"/>
        <w:keepNext w:val="true"/>
        <w:keepLines/>
        <w:widowControl/>
        <w:numPr>
          <w:ilvl w:val="0"/>
          <w:numId w:val="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NG Resources/Project Crescendo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Teresa Bushman</w:t>
      </w:r>
    </w:p>
    <w:p>
      <w:pPr>
        <w:pStyle w:val="BodyText"/>
        <w:keepNext w:val="true"/>
        <w:keepLines/>
        <w:widowControl/>
        <w:tabs>
          <w:tab w:val="clear" w:pos="720"/>
          <w:tab w:val="left" w:pos="1260" w:leader="none"/>
        </w:tabs>
        <w:ind w:hanging="1080" w:start="2160" w:end="0"/>
        <w:rPr/>
      </w:pPr>
      <w:r>
        <w:rPr>
          <w:rFonts w:cs="Times New Roman" w:ascii="Times New Roman" w:hAnsi="Times New Roman"/>
          <w:sz w:val="24"/>
        </w:rPr>
        <w:t>-</w:t>
        <w:tab/>
        <w:t>Update:</w:t>
        <w:tab/>
        <w:t>Closed equity; production payment to close 4</w:t>
      </w:r>
      <w:r>
        <w:rPr>
          <w:rFonts w:cs="Times New Roman" w:ascii="Times New Roman" w:hAnsi="Times New Roman"/>
          <w:sz w:val="24"/>
          <w:vertAlign w:val="superscript"/>
        </w:rPr>
        <w:t>th</w:t>
      </w:r>
      <w:r>
        <w:rPr>
          <w:rFonts w:cs="Times New Roman" w:ascii="Times New Roman" w:hAnsi="Times New Roman"/>
          <w:sz w:val="24"/>
        </w:rPr>
        <w:t xml:space="preserve"> quarter 2000</w:t>
      </w:r>
    </w:p>
    <w:p>
      <w:pPr>
        <w:pStyle w:val="Normal"/>
        <w:keepNext w:val="true"/>
        <w:keepLines/>
        <w:widowControl/>
        <w:numPr>
          <w:ilvl w:val="0"/>
          <w:numId w:val="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QF Restructurings – Continue to work on numerous QF restructurings</w:t>
      </w:r>
    </w:p>
    <w:p>
      <w:pPr>
        <w:pStyle w:val="Normal"/>
        <w:keepNext w:val="true"/>
        <w:keepLines/>
        <w:widowControl/>
        <w:tabs>
          <w:tab w:val="clear" w:pos="720"/>
          <w:tab w:val="left" w:pos="1080" w:leader="none"/>
          <w:tab w:val="left" w:pos="1260" w:leader="none"/>
        </w:tabs>
        <w:ind w:start="720" w:end="0"/>
        <w:jc w:val="both"/>
        <w:rPr>
          <w:rFonts w:ascii="Times New Roman" w:hAnsi="Times New Roman" w:cs="Times New Roman"/>
          <w:sz w:val="24"/>
        </w:rPr>
      </w:pPr>
      <w:r>
        <w:rPr>
          <w:rFonts w:cs="Times New Roman" w:ascii="Times New Roman" w:hAnsi="Times New Roman"/>
          <w:sz w:val="24"/>
        </w:rPr>
        <w:tab/>
        <w:t>-</w:t>
        <w:tab/>
        <w:t>Dan Lyons</w:t>
      </w:r>
    </w:p>
    <w:p>
      <w:pPr>
        <w:pStyle w:val="Normal"/>
        <w:keepNext w:val="true"/>
        <w:keepLines/>
        <w:widowControl/>
        <w:tabs>
          <w:tab w:val="clear" w:pos="720"/>
          <w:tab w:val="left" w:pos="1080" w:leader="none"/>
          <w:tab w:val="left" w:pos="1260" w:leader="none"/>
        </w:tabs>
        <w:ind w:hanging="1440" w:start="2160" w:end="0"/>
        <w:jc w:val="both"/>
        <w:rPr>
          <w:rFonts w:ascii="Times New Roman" w:hAnsi="Times New Roman" w:cs="Times New Roman"/>
          <w:sz w:val="24"/>
        </w:rPr>
      </w:pPr>
      <w:r>
        <w:rPr>
          <w:rFonts w:cs="Times New Roman" w:ascii="Times New Roman" w:hAnsi="Times New Roman"/>
          <w:sz w:val="24"/>
        </w:rPr>
        <w:tab/>
        <w:t>-</w:t>
        <w:tab/>
        <w:t>Update:</w:t>
        <w:tab/>
        <w:t>Transactions at varying stages of completion</w:t>
      </w:r>
    </w:p>
    <w:p>
      <w:pPr>
        <w:pStyle w:val="Normal"/>
        <w:keepNext w:val="true"/>
        <w:keepLines/>
        <w:widowControl/>
        <w:numPr>
          <w:ilvl w:val="0"/>
          <w:numId w:val="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Acquisition and Disposition Transactions – Continue to work on a variety of transactions, including acquisitions of companies owning interests in power generation facilities</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Lance Schuler/Lou Stoler</w:t>
      </w:r>
    </w:p>
    <w:p>
      <w:pPr>
        <w:pStyle w:val="BodyText"/>
        <w:keepNext w:val="true"/>
        <w:keepLines/>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Project INGA (Lou Stoler) in documentation; other transactions in varying states of completion</w:t>
      </w:r>
    </w:p>
    <w:p>
      <w:pPr>
        <w:pStyle w:val="Normal"/>
        <w:keepNext w:val="true"/>
        <w:keepLines/>
        <w:widowControl/>
        <w:numPr>
          <w:ilvl w:val="0"/>
          <w:numId w:val="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HEOF II Matters – Continue to work on investments by HEOF II in various minority-owned businesses</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Jim Grace</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Transactions at varying stages of completion</w:t>
      </w:r>
    </w:p>
    <w:p>
      <w:pPr>
        <w:pStyle w:val="Normal"/>
        <w:keepNext w:val="true"/>
        <w:keepLines/>
        <w:widowControl/>
        <w:numPr>
          <w:ilvl w:val="0"/>
          <w:numId w:val="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Production Payments – Variety of transactions involving production payments</w:t>
      </w:r>
    </w:p>
    <w:p>
      <w:pPr>
        <w:pStyle w:val="BodyText"/>
        <w:keepNext w:val="true"/>
        <w:keepLines/>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Transactions at varying stages of completion</w:t>
      </w:r>
    </w:p>
    <w:p>
      <w:pPr>
        <w:pStyle w:val="Normal"/>
        <w:keepNext w:val="true"/>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t>LITIGATION</w:t>
      </w:r>
    </w:p>
    <w:p>
      <w:pPr>
        <w:pStyle w:val="Normal"/>
        <w:keepNext w:val="true"/>
        <w:keepLines/>
        <w:jc w:val="both"/>
        <w:rPr>
          <w:rFonts w:ascii="Times New Roman" w:hAnsi="Times New Roman" w:cs="Times New Roman"/>
          <w:i/>
          <w:i/>
          <w:sz w:val="24"/>
          <w:u w:val="single"/>
        </w:rPr>
      </w:pPr>
      <w:r>
        <w:rPr>
          <w:rFonts w:cs="Times New Roman" w:ascii="Times New Roman" w:hAnsi="Times New Roman"/>
          <w:i/>
          <w:sz w:val="24"/>
          <w:u w:val="single"/>
        </w:rPr>
      </w:r>
      <w:bookmarkStart w:id="0" w:name="StartOfMemo"/>
      <w:bookmarkStart w:id="1" w:name="StartOfMemo"/>
      <w:bookmarkEnd w:id="1"/>
    </w:p>
    <w:p>
      <w:pPr>
        <w:pStyle w:val="BodyText"/>
        <w:keepNext w:val="true"/>
        <w:keepLines/>
        <w:rPr>
          <w:rFonts w:ascii="Times New Roman" w:hAnsi="Times New Roman" w:cs="Times New Roman"/>
          <w:iCs/>
          <w:sz w:val="24"/>
        </w:rPr>
      </w:pPr>
      <w:r>
        <w:rPr>
          <w:rFonts w:cs="Times New Roman" w:ascii="Times New Roman" w:hAnsi="Times New Roman"/>
          <w:iCs/>
          <w:sz w:val="24"/>
        </w:rPr>
        <w:t>(Text of “Status of ENA Litigation” Report to Mark Haedicke dated September 21, 2000)</w:t>
      </w:r>
    </w:p>
    <w:p>
      <w:pPr>
        <w:pStyle w:val="Normal"/>
        <w:keepNext w:val="true"/>
        <w:keepLines/>
        <w:jc w:val="both"/>
        <w:rPr>
          <w:rFonts w:ascii="Times New Roman" w:hAnsi="Times New Roman" w:cs="Times New Roman"/>
          <w:i/>
          <w:i/>
          <w:iCs/>
          <w:sz w:val="24"/>
          <w:u w:val="single"/>
        </w:rPr>
      </w:pPr>
      <w:r>
        <w:rPr>
          <w:rFonts w:cs="Times New Roman" w:ascii="Times New Roman" w:hAnsi="Times New Roman"/>
          <w:i/>
          <w:iCs/>
          <w:sz w:val="24"/>
          <w:u w:val="single"/>
        </w:rPr>
      </w:r>
    </w:p>
    <w:p>
      <w:pPr>
        <w:pStyle w:val="Normal"/>
        <w:keepNext w:val="true"/>
        <w:keepLines/>
        <w:jc w:val="both"/>
        <w:rPr>
          <w:rFonts w:ascii="Times New Roman" w:hAnsi="Times New Roman" w:cs="Times New Roman"/>
          <w:i/>
          <w:i/>
          <w:sz w:val="24"/>
          <w:u w:val="single"/>
        </w:rPr>
      </w:pPr>
      <w:r>
        <w:rPr>
          <w:rFonts w:cs="Times New Roman" w:ascii="Times New Roman" w:hAnsi="Times New Roman"/>
          <w:i/>
          <w:sz w:val="24"/>
          <w:u w:val="single"/>
        </w:rPr>
        <w:t>Dow Waiver Litigation</w:t>
      </w:r>
    </w:p>
    <w:p>
      <w:pPr>
        <w:pStyle w:val="Normal"/>
        <w:keepNext w:val="true"/>
        <w:keepLines/>
        <w:jc w:val="both"/>
        <w:rPr>
          <w:rFonts w:ascii="Times New Roman" w:hAnsi="Times New Roman" w:cs="Times New Roman"/>
          <w:sz w:val="24"/>
        </w:rPr>
      </w:pPr>
      <w:r>
        <w:rPr>
          <w:rFonts w:cs="Times New Roman" w:ascii="Times New Roman" w:hAnsi="Times New Roman"/>
          <w:sz w:val="24"/>
        </w:rPr>
        <w:t>(Houston state court) (Susman Godfrey/Bracewell &amp; Patterson) (Vinson &amp; Elkins)</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Plaintiffs have filed a class action alleging that Houston Pipeline failed to take ratably from gas wells in West Texas.</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Plaintiffs allege $466 million in damages</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Our preliminary damage model indicates damages of $60 - $160 million if Plaintiffs recover on their claim.</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The trial is expected within 12-24 months.</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On August 24</w:t>
      </w:r>
      <w:r>
        <w:rPr>
          <w:rFonts w:cs="Times New Roman" w:ascii="Times New Roman" w:hAnsi="Times New Roman"/>
          <w:sz w:val="24"/>
          <w:vertAlign w:val="superscript"/>
        </w:rPr>
        <w:t>th</w:t>
      </w:r>
      <w:r>
        <w:rPr>
          <w:rFonts w:cs="Times New Roman" w:ascii="Times New Roman" w:hAnsi="Times New Roman"/>
          <w:sz w:val="24"/>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The Plaintiffs have requested a rehearing.</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i/>
          <w:i/>
          <w:sz w:val="24"/>
          <w:u w:val="single"/>
        </w:rPr>
      </w:pPr>
      <w:r>
        <w:rPr>
          <w:rFonts w:cs="Times New Roman" w:ascii="Times New Roman" w:hAnsi="Times New Roman"/>
          <w:i/>
          <w:sz w:val="24"/>
          <w:u w:val="single"/>
        </w:rPr>
        <w:t>CATS Litigation</w:t>
      </w:r>
    </w:p>
    <w:p>
      <w:pPr>
        <w:pStyle w:val="Normal"/>
        <w:keepNext w:val="true"/>
        <w:keepLines/>
        <w:jc w:val="both"/>
        <w:rPr>
          <w:rFonts w:ascii="Times New Roman" w:hAnsi="Times New Roman" w:cs="Times New Roman"/>
          <w:sz w:val="24"/>
        </w:rPr>
      </w:pPr>
      <w:r>
        <w:rPr>
          <w:rFonts w:cs="Times New Roman" w:ascii="Times New Roman" w:hAnsi="Times New Roman"/>
          <w:sz w:val="24"/>
        </w:rPr>
        <w:t>(London Commercial Court) (Norton Rose)</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On Friday, July 30</w:t>
      </w:r>
      <w:r>
        <w:rPr>
          <w:rFonts w:cs="Times New Roman" w:ascii="Times New Roman" w:hAnsi="Times New Roman"/>
          <w:sz w:val="24"/>
          <w:vertAlign w:val="superscript"/>
        </w:rPr>
        <w:t>th</w:t>
      </w:r>
      <w:r>
        <w:rPr>
          <w:rFonts w:cs="Times New Roman" w:ascii="Times New Roman" w:hAnsi="Times New Roman"/>
          <w:sz w:val="24"/>
        </w:rPr>
        <w:t xml:space="preserve"> the appellate court reversed the lower court ruling and ordered the CATS parties to repay Enron approximately $130 million.</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An appeal to the House of Lords was filed on or about September 1, 1999.</w:t>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The House of Lords granted the CATS parties request to hear the entire appeal of the appellate court’s ruling.  The appeal is expected in late 2000 or early 2001.</w:t>
      </w:r>
    </w:p>
    <w:p>
      <w:pPr>
        <w:pStyle w:val="Normal"/>
        <w:numPr>
          <w:ilvl w:val="0"/>
          <w:numId w:val="0"/>
        </w:numPr>
        <w:ind w:hanging="0" w:start="720" w:end="0"/>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i/>
          <w:i/>
          <w:sz w:val="24"/>
          <w:u w:val="single"/>
        </w:rPr>
      </w:pPr>
      <w:r>
        <w:rPr>
          <w:rFonts w:cs="Times New Roman" w:ascii="Times New Roman" w:hAnsi="Times New Roman"/>
          <w:i/>
          <w:sz w:val="24"/>
          <w:u w:val="single"/>
        </w:rPr>
        <w:t>Enron Power Marketing, Inc. v. Tennessee Valley Authority</w:t>
      </w:r>
    </w:p>
    <w:p>
      <w:pPr>
        <w:pStyle w:val="Normal"/>
        <w:keepNext w:val="true"/>
        <w:keepLines/>
        <w:numPr>
          <w:ilvl w:val="0"/>
          <w:numId w:val="0"/>
        </w:numPr>
        <w:ind w:hanging="0" w:start="0"/>
        <w:jc w:val="both"/>
        <w:rPr>
          <w:rFonts w:ascii="Times New Roman" w:hAnsi="Times New Roman" w:cs="Times New Roman"/>
          <w:sz w:val="24"/>
        </w:rPr>
      </w:pPr>
      <w:r>
        <w:rPr>
          <w:rFonts w:cs="Times New Roman" w:ascii="Times New Roman" w:hAnsi="Times New Roman"/>
          <w:sz w:val="24"/>
        </w:rPr>
        <w:t>(Tennessee Federal District Court) (Gibbs &amp; Bruns)</w:t>
      </w:r>
    </w:p>
    <w:p>
      <w:pPr>
        <w:pStyle w:val="Normal"/>
        <w:keepNext w:val="true"/>
        <w:keepLines/>
        <w:numPr>
          <w:ilvl w:val="0"/>
          <w:numId w:val="0"/>
        </w:numPr>
        <w:ind w:hanging="0" w:start="0"/>
        <w:jc w:val="both"/>
        <w:rPr>
          <w:rFonts w:ascii="Times New Roman" w:hAnsi="Times New Roman" w:cs="Times New Roman"/>
          <w:i/>
          <w:i/>
          <w:sz w:val="24"/>
          <w:u w:val="single"/>
        </w:rPr>
      </w:pPr>
      <w:r>
        <w:rPr>
          <w:rFonts w:cs="Times New Roman" w:ascii="Times New Roman" w:hAnsi="Times New Roman"/>
          <w:i/>
          <w:sz w:val="24"/>
          <w:u w:val="single"/>
        </w:rPr>
      </w:r>
    </w:p>
    <w:p>
      <w:pPr>
        <w:pStyle w:val="Normal"/>
        <w:keepNext w:val="true"/>
        <w:keepLines/>
        <w:numPr>
          <w:ilvl w:val="0"/>
          <w:numId w:val="22"/>
        </w:numPr>
        <w:jc w:val="both"/>
        <w:rPr>
          <w:rFonts w:ascii="Times New Roman" w:hAnsi="Times New Roman" w:cs="Times New Roman"/>
          <w:sz w:val="24"/>
        </w:rPr>
      </w:pPr>
      <w:r>
        <w:rPr>
          <w:rFonts w:cs="Times New Roman" w:ascii="Times New Roman" w:hAnsi="Times New Roman"/>
          <w:sz w:val="24"/>
        </w:rPr>
        <w:t>EPMI filed a declaratory judgment action against TVA in Chattanooga, Tennessee, requesting that the court hold that EPMI can satisfy its delivery obligation to TVA by delivering energy to an inter-connecting utility.</w:t>
      </w:r>
    </w:p>
    <w:p>
      <w:pPr>
        <w:pStyle w:val="Normal"/>
        <w:keepNext w:val="true"/>
        <w:keepLines/>
        <w:numPr>
          <w:ilvl w:val="0"/>
          <w:numId w:val="22"/>
        </w:numPr>
        <w:jc w:val="both"/>
        <w:rPr>
          <w:rFonts w:ascii="Times New Roman" w:hAnsi="Times New Roman" w:cs="Times New Roman"/>
          <w:i/>
          <w:i/>
          <w:sz w:val="24"/>
          <w:u w:val="single"/>
        </w:rPr>
      </w:pPr>
      <w:r>
        <w:rPr>
          <w:rFonts w:cs="Times New Roman" w:ascii="Times New Roman" w:hAnsi="Times New Roman"/>
          <w:sz w:val="24"/>
        </w:rPr>
        <w:t>On January 27, 2000, EPMI terminated the MOPA.</w:t>
      </w:r>
    </w:p>
    <w:p>
      <w:pPr>
        <w:pStyle w:val="Normal"/>
        <w:keepNext w:val="true"/>
        <w:keepLines/>
        <w:numPr>
          <w:ilvl w:val="0"/>
          <w:numId w:val="11"/>
        </w:numPr>
        <w:jc w:val="both"/>
        <w:rPr>
          <w:rFonts w:ascii="Times New Roman" w:hAnsi="Times New Roman" w:cs="Times New Roman"/>
          <w:i/>
          <w:i/>
          <w:sz w:val="24"/>
          <w:u w:val="single"/>
        </w:rPr>
      </w:pPr>
      <w:r>
        <w:rPr>
          <w:rFonts w:cs="Times New Roman" w:ascii="Times New Roman" w:hAnsi="Times New Roman"/>
          <w:sz w:val="24"/>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keepNext w:val="true"/>
        <w:keepLines/>
        <w:numPr>
          <w:ilvl w:val="0"/>
          <w:numId w:val="11"/>
        </w:numPr>
        <w:jc w:val="both"/>
        <w:rPr>
          <w:rFonts w:ascii="Times New Roman" w:hAnsi="Times New Roman" w:cs="Times New Roman"/>
          <w:sz w:val="24"/>
        </w:rPr>
      </w:pPr>
      <w:r>
        <w:rPr>
          <w:rFonts w:cs="Times New Roman" w:ascii="Times New Roman" w:hAnsi="Times New Roman"/>
          <w:sz w:val="24"/>
        </w:rPr>
        <w:t>On March 5, TVA filed an answer and counterclaim.  In its counterclaim, TVA requests monetary damages and injunctive relief for EPMI’s breach of the MOPA.</w:t>
      </w:r>
    </w:p>
    <w:p>
      <w:pPr>
        <w:pStyle w:val="Normal"/>
        <w:numPr>
          <w:ilvl w:val="0"/>
          <w:numId w:val="11"/>
        </w:numPr>
        <w:jc w:val="both"/>
        <w:rPr>
          <w:rFonts w:ascii="Times New Roman" w:hAnsi="Times New Roman" w:cs="Times New Roman"/>
          <w:sz w:val="24"/>
        </w:rPr>
      </w:pPr>
      <w:r>
        <w:rPr>
          <w:rFonts w:cs="Times New Roman" w:ascii="Times New Roman" w:hAnsi="Times New Roman"/>
          <w:sz w:val="24"/>
        </w:rPr>
        <w:t>Enron has sent extensive written discovery requests and will begin depositions in September.</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The case is set for trial on October 12, 2001.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i/>
          <w:sz w:val="24"/>
          <w:u w:val="single"/>
        </w:rPr>
        <w:t>Glatzer v. Enron Corp. and Enron Finance Corp.</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(New York state court) (Susman Godfrey)</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Plaintiff’s damages are unspecified, but he has offered to settle for $1 million</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ECT filed a motion for summary judgment on September 24, 1998.  Plaintiff filed a response on February 6.</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On July 14, 1999, the Court granted ECT’s motion for summary judgment. </w:t>
      </w:r>
    </w:p>
    <w:p>
      <w:pPr>
        <w:pStyle w:val="Normal"/>
        <w:numPr>
          <w:ilvl w:val="0"/>
          <w:numId w:val="22"/>
        </w:numPr>
        <w:jc w:val="both"/>
        <w:rPr>
          <w:rFonts w:ascii="Times New Roman" w:hAnsi="Times New Roman" w:cs="Times New Roman"/>
          <w:i/>
          <w:i/>
          <w:sz w:val="24"/>
          <w:u w:val="single"/>
        </w:rPr>
      </w:pPr>
      <w:r>
        <w:rPr>
          <w:rFonts w:cs="Times New Roman" w:ascii="Times New Roman" w:hAnsi="Times New Roman"/>
          <w:sz w:val="24"/>
        </w:rPr>
        <w:t>The plaintiff has appealed the judgment.</w:t>
      </w:r>
    </w:p>
    <w:p>
      <w:pPr>
        <w:pStyle w:val="Normal"/>
        <w:numPr>
          <w:ilvl w:val="0"/>
          <w:numId w:val="22"/>
        </w:numPr>
        <w:jc w:val="both"/>
        <w:rPr>
          <w:rFonts w:ascii="Times New Roman" w:hAnsi="Times New Roman" w:cs="Times New Roman"/>
          <w:i/>
          <w:i/>
          <w:sz w:val="24"/>
          <w:u w:val="single"/>
        </w:rPr>
      </w:pPr>
      <w:r>
        <w:rPr>
          <w:rFonts w:cs="Times New Roman" w:ascii="Times New Roman" w:hAnsi="Times New Roman"/>
          <w:sz w:val="24"/>
        </w:rPr>
        <w:t>A decision is expected within six months.</w:t>
      </w:r>
    </w:p>
    <w:p>
      <w:pPr>
        <w:pStyle w:val="Normal"/>
        <w:ind w:start="720" w:end="0"/>
        <w:jc w:val="both"/>
        <w:rPr>
          <w:rFonts w:ascii="Times New Roman" w:hAnsi="Times New Roman" w:cs="Times New Roman"/>
          <w:i/>
          <w:i/>
          <w:sz w:val="24"/>
          <w:u w:val="single"/>
        </w:rPr>
      </w:pPr>
      <w:r>
        <w:rPr>
          <w:rFonts w:cs="Times New Roman" w:ascii="Times New Roman" w:hAnsi="Times New Roman"/>
          <w:i/>
          <w:sz w:val="24"/>
          <w:u w:val="single"/>
        </w:rPr>
      </w:r>
    </w:p>
    <w:p>
      <w:pPr>
        <w:pStyle w:val="Normal"/>
        <w:jc w:val="both"/>
        <w:rPr>
          <w:rFonts w:ascii="Times New Roman" w:hAnsi="Times New Roman" w:cs="Times New Roman"/>
          <w:sz w:val="24"/>
        </w:rPr>
      </w:pPr>
      <w:r>
        <w:rPr>
          <w:rFonts w:cs="Times New Roman" w:ascii="Times New Roman" w:hAnsi="Times New Roman"/>
          <w:i/>
          <w:sz w:val="24"/>
          <w:u w:val="single"/>
        </w:rPr>
        <w:t>EnSerCo, L.L.C.v. Drilling Rig Noram 253 and SAM Offshore, Ltd.</w:t>
      </w:r>
    </w:p>
    <w:p>
      <w:pPr>
        <w:pStyle w:val="Normal"/>
        <w:jc w:val="both"/>
        <w:rPr>
          <w:rFonts w:ascii="Times New Roman" w:hAnsi="Times New Roman" w:cs="Times New Roman"/>
          <w:sz w:val="24"/>
        </w:rPr>
      </w:pPr>
      <w:r>
        <w:rPr>
          <w:rFonts w:cs="Times New Roman" w:ascii="Times New Roman" w:hAnsi="Times New Roman"/>
          <w:sz w:val="24"/>
        </w:rPr>
        <w:t>(Southern District, Galveston Division) (Gardere Wynne Sewell &amp; Riggs)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Sam Offshore defaulted on $15,500,000 Promissory Note</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Enserco seized the vessel on October 15, 1999.  The rig is located in Galveston</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In January Enserco filed suit against the guarantors of the Sam Offshore loan.  The guarantors are foreign companies.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In February, Enserco purchased the rig in a judicial foreclosure sale for $1 million.  We are attempting to sell this rig.</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On June 9</w:t>
      </w:r>
      <w:r>
        <w:rPr>
          <w:rFonts w:cs="Times New Roman" w:ascii="Times New Roman" w:hAnsi="Times New Roman"/>
          <w:sz w:val="24"/>
          <w:vertAlign w:val="superscript"/>
        </w:rPr>
        <w:t>th</w:t>
      </w:r>
      <w:r>
        <w:rPr>
          <w:rFonts w:cs="Times New Roman" w:ascii="Times New Roman" w:hAnsi="Times New Roman"/>
          <w:sz w:val="24"/>
        </w:rPr>
        <w:t>, this case was called to trial.  Prior to the trial, the defendants agreed to a deficiency judgment in favor of Enserco.  Enserco agreed to dismiss fraudulent transfer claims against two defendants.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We will now attempt to collect the deficiency judgment.</w:t>
      </w:r>
    </w:p>
    <w:p>
      <w:pPr>
        <w:pStyle w:val="Normal"/>
        <w:ind w:start="720" w:end="0"/>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i/>
          <w:i/>
          <w:sz w:val="24"/>
          <w:u w:val="single"/>
        </w:rPr>
      </w:pPr>
      <w:r>
        <w:rPr>
          <w:rFonts w:cs="Times New Roman" w:ascii="Times New Roman" w:hAnsi="Times New Roman"/>
          <w:i/>
          <w:sz w:val="24"/>
          <w:u w:val="single"/>
        </w:rPr>
        <w:t>Natole v. ECT</w:t>
      </w:r>
    </w:p>
    <w:p>
      <w:pPr>
        <w:pStyle w:val="Heading6"/>
        <w:keepNext w:val="false"/>
        <w:ind w:hanging="0" w:start="0"/>
        <w:jc w:val="both"/>
        <w:rPr>
          <w:rFonts w:ascii="Times New Roman" w:hAnsi="Times New Roman" w:cs="Times New Roman"/>
          <w:i w:val="false"/>
          <w:i w:val="false"/>
          <w:sz w:val="24"/>
        </w:rPr>
      </w:pPr>
      <w:r>
        <w:rPr>
          <w:rFonts w:cs="Times New Roman" w:ascii="Times New Roman" w:hAnsi="Times New Roman"/>
          <w:i w:val="false"/>
          <w:sz w:val="24"/>
        </w:rPr>
        <w:t>(Houston State Court) (Ogden, Gibson, White &amp; Brooks)</w:t>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Natole has sued ECT alleging that ECT breached its verbal contract with Natole to pay Natole a $900,000 sales commission for a gas turbine.</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Natole has also sued ECT alleging that ECT wrongfully rejected spare parts for a separate turbine.  ECT believes the parts are non-conforming because they are not certified parts.  This claim is for $500,000.</w:t>
      </w:r>
    </w:p>
    <w:p>
      <w:pPr>
        <w:pStyle w:val="Normal"/>
        <w:numPr>
          <w:ilvl w:val="0"/>
          <w:numId w:val="22"/>
        </w:numPr>
        <w:jc w:val="both"/>
        <w:rPr>
          <w:rFonts w:ascii="Times New Roman" w:hAnsi="Times New Roman" w:cs="Times New Roman"/>
          <w:b/>
          <w:sz w:val="24"/>
        </w:rPr>
      </w:pPr>
      <w:r>
        <w:rPr>
          <w:rFonts w:cs="Times New Roman" w:ascii="Times New Roman" w:hAnsi="Times New Roman"/>
          <w:sz w:val="24"/>
        </w:rPr>
        <w:t>Discovery is proceeding.</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The case settled for $125,000.00.</w:t>
      </w:r>
    </w:p>
    <w:p>
      <w:pPr>
        <w:pStyle w:val="Heading6"/>
        <w:keepNext w:val="false"/>
        <w:ind w:hanging="0" w:start="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i/>
          <w:i/>
          <w:sz w:val="24"/>
          <w:u w:val="single"/>
        </w:rPr>
      </w:pPr>
      <w:r>
        <w:rPr>
          <w:rFonts w:cs="Times New Roman" w:ascii="Times New Roman" w:hAnsi="Times New Roman"/>
          <w:i/>
          <w:sz w:val="24"/>
          <w:u w:val="single"/>
        </w:rPr>
        <w:t>Nakonthai Strip Mill (NSM) Thailand</w:t>
      </w:r>
    </w:p>
    <w:p>
      <w:pPr>
        <w:pStyle w:val="Subject"/>
        <w:tabs>
          <w:tab w:val="clear" w:pos="720"/>
          <w:tab w:val="left" w:pos="540" w:leader="none"/>
        </w:tabs>
        <w:jc w:val="both"/>
        <w:rPr>
          <w:rFonts w:ascii="Times New Roman" w:hAnsi="Times New Roman" w:cs="Times New Roman"/>
          <w:sz w:val="24"/>
        </w:rPr>
      </w:pPr>
      <w:r>
        <w:rPr>
          <w:rFonts w:cs="Times New Roman" w:ascii="Times New Roman" w:hAnsi="Times New Roman"/>
          <w:sz w:val="24"/>
        </w:rPr>
        <w:t>(Los Angeles State Court) (Milbank, Tweed)</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ECT Securities was an underwriter for approximately $25 million of the bonds and may have liability for any misrepresentations contained in the offering memorandum.</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Several lawsuits have been filed against our co-underwriters claiming alleged misrepresentations in the offering memorandum.  The lawsuits are pending in Minneapolis, New Jersey, Chicago and Los Angeles.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ECT Securities has been sued by Farrollan and Legg Mason in Los Angeles State District Court.</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Extensive discovery has been conducted to date.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u w:val="single"/>
        </w:rPr>
      </w:pPr>
      <w:r>
        <w:rPr>
          <w:rFonts w:cs="Times New Roman" w:ascii="Times New Roman" w:hAnsi="Times New Roman"/>
          <w:i/>
          <w:sz w:val="24"/>
          <w:u w:val="single"/>
        </w:rPr>
        <w:t>Grynberg</w:t>
      </w:r>
    </w:p>
    <w:p>
      <w:pPr>
        <w:pStyle w:val="Footer"/>
        <w:tabs>
          <w:tab w:val="clear" w:pos="4320"/>
          <w:tab w:val="clear" w:pos="8640"/>
          <w:tab w:val="left" w:pos="540" w:leader="none"/>
        </w:tabs>
        <w:jc w:val="both"/>
        <w:rPr>
          <w:rFonts w:ascii="Times New Roman" w:hAnsi="Times New Roman" w:cs="Times New Roman"/>
          <w:sz w:val="24"/>
        </w:rPr>
      </w:pPr>
      <w:r>
        <w:rPr>
          <w:rFonts w:cs="Times New Roman" w:ascii="Times New Roman" w:hAnsi="Times New Roman"/>
          <w:sz w:val="24"/>
        </w:rPr>
        <w:t>(Wyoming Federal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Qui tam action brought against HPL, LRC, and all pipeline companies in America alleging fraudulent practices in the measurement of gas.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All of the cases have been consolidated in Wyoming.</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On March 18, the court heard oral arguments on the defendants’ motion to dismiss for failure to plead fraud with particularity.  The Court has not yet issued a decision. </w:t>
      </w:r>
      <w:r>
        <w:br w:type="page"/>
      </w:r>
    </w:p>
    <w:p>
      <w:pPr>
        <w:pStyle w:val="Heading6"/>
        <w:keepNext w:val="false"/>
        <w:ind w:hanging="0" w:start="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i/>
          <w:i/>
          <w:sz w:val="24"/>
          <w:u w:val="single"/>
        </w:rPr>
      </w:pPr>
      <w:r>
        <w:rPr>
          <w:rFonts w:cs="Times New Roman" w:ascii="Times New Roman" w:hAnsi="Times New Roman"/>
          <w:i/>
          <w:sz w:val="24"/>
          <w:u w:val="single"/>
        </w:rPr>
        <w:t>Qunique Case</w:t>
      </w:r>
    </w:p>
    <w:p>
      <w:pPr>
        <w:pStyle w:val="Footer"/>
        <w:tabs>
          <w:tab w:val="clear" w:pos="4320"/>
          <w:tab w:val="clear" w:pos="8640"/>
          <w:tab w:val="left" w:pos="540" w:leader="none"/>
        </w:tabs>
        <w:jc w:val="both"/>
        <w:rPr>
          <w:rFonts w:ascii="Times New Roman" w:hAnsi="Times New Roman" w:cs="Times New Roman"/>
          <w:sz w:val="24"/>
        </w:rPr>
      </w:pPr>
      <w:r>
        <w:rPr>
          <w:rFonts w:cs="Times New Roman" w:ascii="Times New Roman" w:hAnsi="Times New Roman"/>
          <w:sz w:val="24"/>
        </w:rPr>
        <w:t>(Kansas State &amp; Federal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This is a national class action filed in State District Court in Kansas on behalf of all gas producers and royalty interest owners alleging fraudulent practices in the measurement of gas.</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Enron removed the case to the Federal District Court of Kansas City alleging Federal Question jurisdiction.</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Plaintiffs have filed a motion to remand to State District Court.</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All proceedings have been stayed pending the Court’s consideration of the motion to remand.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On April 12th, the Multi-District Litigation Panel transferred this action to the Federal District Court in Wyoming.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The defendants have filed Rule 9b and 12b motions to dismiss.  The Court has not yet issued a decision.</w:t>
      </w:r>
    </w:p>
    <w:p>
      <w:pPr>
        <w:pStyle w:val="Normal"/>
        <w:ind w:start="720" w:end="0"/>
        <w:jc w:val="both"/>
        <w:rPr>
          <w:rFonts w:ascii="Times New Roman" w:hAnsi="Times New Roman" w:cs="Times New Roman"/>
          <w:b/>
          <w:bCs/>
          <w:sz w:val="24"/>
        </w:rPr>
      </w:pPr>
      <w:r>
        <w:rPr>
          <w:rFonts w:cs="Times New Roman" w:ascii="Times New Roman" w:hAnsi="Times New Roman"/>
          <w:b/>
          <w:bCs/>
          <w:sz w:val="24"/>
        </w:rPr>
      </w:r>
    </w:p>
    <w:p>
      <w:pPr>
        <w:pStyle w:val="Normal"/>
        <w:keepNext w:val="true"/>
        <w:keepLines/>
        <w:jc w:val="both"/>
        <w:rPr>
          <w:rFonts w:ascii="Times New Roman" w:hAnsi="Times New Roman" w:cs="Times New Roman"/>
          <w:i/>
          <w:i/>
          <w:sz w:val="24"/>
          <w:u w:val="single"/>
        </w:rPr>
      </w:pPr>
      <w:r>
        <w:rPr>
          <w:rFonts w:cs="Times New Roman" w:ascii="Times New Roman" w:hAnsi="Times New Roman"/>
          <w:i/>
          <w:sz w:val="24"/>
          <w:u w:val="single"/>
        </w:rPr>
        <w:t>Enron Power Marketing v. Calpine Corp.</w:t>
      </w:r>
    </w:p>
    <w:p>
      <w:pPr>
        <w:pStyle w:val="Normal"/>
        <w:keepNext w:val="true"/>
        <w:keepLines/>
        <w:jc w:val="both"/>
        <w:rPr>
          <w:rFonts w:ascii="Times New Roman" w:hAnsi="Times New Roman" w:cs="Times New Roman"/>
          <w:sz w:val="24"/>
        </w:rPr>
      </w:pPr>
      <w:r>
        <w:rPr>
          <w:rFonts w:cs="Times New Roman" w:ascii="Times New Roman" w:hAnsi="Times New Roman"/>
          <w:sz w:val="24"/>
        </w:rPr>
        <w:t>(Houston Federal District Court) (Bill Ogden)</w:t>
      </w:r>
    </w:p>
    <w:p>
      <w:pPr>
        <w:pStyle w:val="Normal"/>
        <w:keepLines/>
        <w:jc w:val="both"/>
        <w:rPr>
          <w:rFonts w:ascii="Times New Roman" w:hAnsi="Times New Roman" w:cs="Times New Roman"/>
          <w:sz w:val="24"/>
        </w:rPr>
      </w:pPr>
      <w:r>
        <w:rPr>
          <w:rFonts w:cs="Times New Roman" w:ascii="Times New Roman" w:hAnsi="Times New Roman"/>
          <w:sz w:val="24"/>
        </w:rPr>
      </w:r>
    </w:p>
    <w:p>
      <w:pPr>
        <w:pStyle w:val="Normal"/>
        <w:keepLines/>
        <w:numPr>
          <w:ilvl w:val="0"/>
          <w:numId w:val="21"/>
        </w:numPr>
        <w:jc w:val="both"/>
        <w:rPr>
          <w:rFonts w:ascii="Times New Roman" w:hAnsi="Times New Roman" w:cs="Times New Roman"/>
          <w:sz w:val="24"/>
        </w:rPr>
      </w:pPr>
      <w:r>
        <w:rPr>
          <w:rFonts w:cs="Times New Roman" w:ascii="Times New Roman" w:hAnsi="Times New Roman"/>
          <w:sz w:val="24"/>
        </w:rPr>
        <w:t>EPMI filed a lawsuit against Calpine alleging that Calpine breached its contract with EPMI to assume certain power contracts  EPMI had with the Lower Colorado River Authority.</w:t>
      </w:r>
    </w:p>
    <w:p>
      <w:pPr>
        <w:pStyle w:val="Normal"/>
        <w:keepLines/>
        <w:numPr>
          <w:ilvl w:val="0"/>
          <w:numId w:val="21"/>
        </w:numPr>
        <w:jc w:val="both"/>
        <w:rPr>
          <w:rFonts w:ascii="Times New Roman" w:hAnsi="Times New Roman" w:cs="Times New Roman"/>
          <w:sz w:val="24"/>
        </w:rPr>
      </w:pPr>
      <w:r>
        <w:rPr>
          <w:rFonts w:cs="Times New Roman" w:ascii="Times New Roman" w:hAnsi="Times New Roman"/>
          <w:sz w:val="24"/>
        </w:rPr>
        <w:t>EPMI's damages will depend on the cost of covering Calpine's position.  The damages are estimated to be $2.4-7.2 million.</w:t>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On March 6, 2000, Calpine filed an answer and removed this case to Federal Court.  The preliminary hearing before the court is scheduled on July 21</w:t>
      </w:r>
      <w:r>
        <w:rPr>
          <w:rFonts w:cs="Times New Roman" w:ascii="Times New Roman" w:hAnsi="Times New Roman"/>
          <w:sz w:val="24"/>
          <w:vertAlign w:val="superscript"/>
        </w:rPr>
        <w:t>st</w:t>
      </w:r>
      <w:r>
        <w:rPr>
          <w:rFonts w:cs="Times New Roman" w:ascii="Times New Roman" w:hAnsi="Times New Roman"/>
          <w:sz w:val="24"/>
        </w:rPr>
        <w:t>.</w:t>
      </w:r>
    </w:p>
    <w:p>
      <w:pPr>
        <w:pStyle w:val="Normal"/>
        <w:numPr>
          <w:ilvl w:val="0"/>
          <w:numId w:val="21"/>
        </w:numPr>
        <w:jc w:val="both"/>
        <w:rPr>
          <w:rFonts w:ascii="Times New Roman" w:hAnsi="Times New Roman" w:cs="Times New Roman"/>
          <w:bCs/>
          <w:sz w:val="24"/>
        </w:rPr>
      </w:pPr>
      <w:r>
        <w:rPr>
          <w:rFonts w:cs="Times New Roman" w:ascii="Times New Roman" w:hAnsi="Times New Roman"/>
          <w:bCs/>
          <w:sz w:val="24"/>
        </w:rPr>
        <w:t>Discovery is proceeding.</w:t>
      </w:r>
    </w:p>
    <w:p>
      <w:pPr>
        <w:pStyle w:val="Normal"/>
        <w:jc w:val="both"/>
        <w:rPr>
          <w:rFonts w:ascii="Times New Roman" w:hAnsi="Times New Roman" w:cs="Times New Roman"/>
          <w:bCs/>
          <w:sz w:val="24"/>
        </w:rPr>
      </w:pPr>
      <w:r>
        <w:rPr>
          <w:rFonts w:cs="Times New Roman" w:ascii="Times New Roman" w:hAnsi="Times New Roman"/>
          <w:bCs/>
          <w:sz w:val="24"/>
        </w:rPr>
      </w:r>
    </w:p>
    <w:p>
      <w:pPr>
        <w:pStyle w:val="Heading4"/>
        <w:keepNext w:val="false"/>
        <w:ind w:hanging="0" w:start="0"/>
        <w:rPr>
          <w:rFonts w:ascii="Times New Roman" w:hAnsi="Times New Roman" w:cs="Times New Roman"/>
          <w:sz w:val="24"/>
        </w:rPr>
      </w:pPr>
      <w:r>
        <w:rPr>
          <w:rFonts w:cs="Times New Roman" w:ascii="Times New Roman" w:hAnsi="Times New Roman"/>
          <w:sz w:val="24"/>
        </w:rPr>
        <w:t>PCA v. Enron Power Marketing</w:t>
      </w:r>
    </w:p>
    <w:p>
      <w:pPr>
        <w:pStyle w:val="Normal"/>
        <w:jc w:val="both"/>
        <w:rPr>
          <w:rFonts w:ascii="Times New Roman" w:hAnsi="Times New Roman" w:cs="Times New Roman"/>
          <w:sz w:val="24"/>
        </w:rPr>
      </w:pPr>
      <w:r>
        <w:rPr>
          <w:rFonts w:cs="Times New Roman" w:ascii="Times New Roman" w:hAnsi="Times New Roman"/>
          <w:sz w:val="24"/>
        </w:rPr>
        <w:t>(Connecticut Federal District Court) (Weil Gotshal &amp; Manges – Melanie Gray)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Lawsuit filed by the PCA bankruptcy trustee alleging wrongful termination of PCA’s power contract.</w:t>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Alleged damages are between $4-12 million.</w:t>
      </w:r>
    </w:p>
    <w:p>
      <w:pPr>
        <w:pStyle w:val="Normal"/>
        <w:numPr>
          <w:ilvl w:val="0"/>
          <w:numId w:val="21"/>
        </w:numPr>
        <w:jc w:val="both"/>
        <w:rPr>
          <w:rFonts w:ascii="Times New Roman" w:hAnsi="Times New Roman" w:cs="Times New Roman"/>
          <w:b/>
          <w:bCs/>
          <w:sz w:val="24"/>
        </w:rPr>
      </w:pPr>
      <w:r>
        <w:rPr>
          <w:rFonts w:cs="Times New Roman" w:ascii="Times New Roman" w:hAnsi="Times New Roman"/>
          <w:b/>
          <w:bCs/>
          <w:sz w:val="24"/>
        </w:rPr>
        <w:t>EPMI’s answer date is October 5</w:t>
      </w:r>
      <w:r>
        <w:rPr>
          <w:rFonts w:cs="Times New Roman" w:ascii="Times New Roman" w:hAnsi="Times New Roman"/>
          <w:b/>
          <w:bCs/>
          <w:sz w:val="24"/>
          <w:vertAlign w:val="superscript"/>
        </w:rPr>
        <w:t>th</w:t>
      </w:r>
      <w:r>
        <w:rPr>
          <w:rFonts w:cs="Times New Roman" w:ascii="Times New Roman" w:hAnsi="Times New Roman"/>
          <w:b/>
          <w:bCs/>
          <w:sz w:val="24"/>
        </w:rPr>
        <w:t>.</w:t>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Heading4"/>
        <w:keepNext w:val="false"/>
        <w:ind w:hanging="0" w:start="0"/>
        <w:rPr>
          <w:rFonts w:ascii="Times New Roman" w:hAnsi="Times New Roman" w:cs="Times New Roman"/>
          <w:sz w:val="24"/>
        </w:rPr>
      </w:pPr>
      <w:r>
        <w:rPr>
          <w:rFonts w:cs="Times New Roman" w:ascii="Times New Roman" w:hAnsi="Times New Roman"/>
          <w:sz w:val="24"/>
        </w:rPr>
        <w:t>Enron v. Antarra Resources</w:t>
      </w:r>
    </w:p>
    <w:p>
      <w:pPr>
        <w:pStyle w:val="Normal"/>
        <w:jc w:val="both"/>
        <w:rPr>
          <w:rFonts w:ascii="Times New Roman" w:hAnsi="Times New Roman" w:cs="Times New Roman"/>
          <w:sz w:val="24"/>
        </w:rPr>
      </w:pPr>
      <w:r>
        <w:rPr>
          <w:rFonts w:cs="Times New Roman" w:ascii="Times New Roman" w:hAnsi="Times New Roman"/>
          <w:sz w:val="24"/>
        </w:rPr>
        <w:t>(Harris County District Court) (Buck, Kennan &amp; Owens – Randy Owens)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Badack Resources, a subsidiary of Antarra, defaulted on a gas sales agreement with ENA.</w:t>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ENA’s damages are approximately $8.4 million.</w:t>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Antarra was sued under a corporate guaranty.</w:t>
      </w:r>
    </w:p>
    <w:p>
      <w:pPr>
        <w:pStyle w:val="Normal"/>
        <w:numPr>
          <w:ilvl w:val="0"/>
          <w:numId w:val="21"/>
        </w:numPr>
        <w:jc w:val="both"/>
        <w:rPr>
          <w:rFonts w:ascii="Times New Roman" w:hAnsi="Times New Roman" w:cs="Times New Roman"/>
          <w:sz w:val="24"/>
        </w:rPr>
      </w:pPr>
      <w:r>
        <w:rPr>
          <w:rFonts w:cs="Times New Roman" w:ascii="Times New Roman" w:hAnsi="Times New Roman"/>
          <w:sz w:val="24"/>
        </w:rPr>
        <w:t>Suit was filed on August 17</w:t>
      </w:r>
      <w:r>
        <w:rPr>
          <w:rFonts w:cs="Times New Roman" w:ascii="Times New Roman" w:hAnsi="Times New Roman"/>
          <w:sz w:val="24"/>
          <w:vertAlign w:val="superscript"/>
        </w:rPr>
        <w:t>th</w:t>
      </w:r>
      <w:r>
        <w:rPr>
          <w:rFonts w:cs="Times New Roman" w:ascii="Times New Roman" w:hAnsi="Times New Roman"/>
          <w:sz w:val="24"/>
        </w:rPr>
        <w:t>.</w:t>
      </w:r>
      <w:r>
        <w:br w:type="page"/>
      </w:r>
    </w:p>
    <w:p>
      <w:pPr>
        <w:pStyle w:val="Normal"/>
        <w:keepLines/>
        <w:jc w:val="both"/>
        <w:rPr>
          <w:rFonts w:ascii="Times New Roman" w:hAnsi="Times New Roman" w:cs="Times New Roman"/>
          <w:i/>
          <w:i/>
          <w:sz w:val="24"/>
          <w:u w:val="single"/>
        </w:rPr>
      </w:pPr>
      <w:r>
        <w:rPr>
          <w:rFonts w:cs="Times New Roman" w:ascii="Times New Roman" w:hAnsi="Times New Roman"/>
          <w:i/>
          <w:sz w:val="24"/>
          <w:u w:val="single"/>
        </w:rPr>
        <w:t>Wright v. Enron Corporation</w:t>
      </w:r>
    </w:p>
    <w:p>
      <w:pPr>
        <w:pStyle w:val="Normal"/>
        <w:keepLines/>
        <w:jc w:val="both"/>
        <w:rPr>
          <w:rFonts w:ascii="Times New Roman" w:hAnsi="Times New Roman" w:cs="Times New Roman"/>
          <w:sz w:val="24"/>
        </w:rPr>
      </w:pPr>
      <w:r>
        <w:rPr>
          <w:rFonts w:cs="Times New Roman" w:ascii="Times New Roman" w:hAnsi="Times New Roman"/>
          <w:sz w:val="24"/>
        </w:rPr>
        <w:t>(Gibbs &amp; Bruns/Vinson &amp;  Elkins)</w:t>
      </w:r>
    </w:p>
    <w:p>
      <w:pPr>
        <w:pStyle w:val="Normal"/>
        <w:keepLines/>
        <w:jc w:val="both"/>
        <w:rPr>
          <w:rFonts w:ascii="Times New Roman" w:hAnsi="Times New Roman" w:cs="Times New Roman"/>
          <w:sz w:val="24"/>
        </w:rPr>
      </w:pPr>
      <w:r>
        <w:rPr>
          <w:rFonts w:cs="Times New Roman" w:ascii="Times New Roman" w:hAnsi="Times New Roman"/>
          <w:sz w:val="24"/>
        </w:rPr>
      </w:r>
    </w:p>
    <w:p>
      <w:pPr>
        <w:pStyle w:val="Normal"/>
        <w:keepLines/>
        <w:numPr>
          <w:ilvl w:val="0"/>
          <w:numId w:val="21"/>
        </w:numPr>
        <w:jc w:val="both"/>
        <w:rPr>
          <w:rFonts w:ascii="Times New Roman" w:hAnsi="Times New Roman" w:cs="Times New Roman"/>
          <w:sz w:val="24"/>
        </w:rPr>
      </w:pPr>
      <w:r>
        <w:rPr>
          <w:rFonts w:cs="Times New Roman" w:ascii="Times New Roman" w:hAnsi="Times New Roman"/>
          <w:sz w:val="24"/>
        </w:rPr>
        <w:t>Qui tam case alleging that all marketing affiliates, including ECT, were created to defraud the federal government of royalty obligations.</w:t>
      </w:r>
    </w:p>
    <w:p>
      <w:pPr>
        <w:pStyle w:val="Normal"/>
        <w:keepLines/>
        <w:numPr>
          <w:ilvl w:val="0"/>
          <w:numId w:val="21"/>
        </w:numPr>
        <w:jc w:val="both"/>
        <w:rPr>
          <w:rFonts w:ascii="Times New Roman" w:hAnsi="Times New Roman" w:cs="Times New Roman"/>
          <w:sz w:val="24"/>
        </w:rPr>
      </w:pPr>
      <w:r>
        <w:rPr>
          <w:rFonts w:cs="Times New Roman" w:ascii="Times New Roman" w:hAnsi="Times New Roman"/>
          <w:sz w:val="24"/>
        </w:rPr>
        <w:t xml:space="preserve">This case has been consolidated with the </w:t>
      </w:r>
      <w:r>
        <w:rPr>
          <w:rFonts w:cs="Times New Roman" w:ascii="Times New Roman" w:hAnsi="Times New Roman"/>
          <w:sz w:val="24"/>
          <w:u w:val="single"/>
        </w:rPr>
        <w:t>Grynberg</w:t>
      </w:r>
      <w:r>
        <w:rPr>
          <w:rFonts w:cs="Times New Roman" w:ascii="Times New Roman" w:hAnsi="Times New Roman"/>
          <w:sz w:val="24"/>
        </w:rPr>
        <w:t xml:space="preserve"> case in Wyoming.</w:t>
      </w:r>
    </w:p>
    <w:p>
      <w:pPr>
        <w:pStyle w:val="Normal"/>
        <w:keepLines/>
        <w:numPr>
          <w:ilvl w:val="0"/>
          <w:numId w:val="21"/>
        </w:numPr>
        <w:jc w:val="both"/>
        <w:rPr>
          <w:rFonts w:ascii="Times New Roman" w:hAnsi="Times New Roman" w:cs="Times New Roman"/>
          <w:sz w:val="24"/>
        </w:rPr>
      </w:pPr>
      <w:r>
        <w:rPr>
          <w:rFonts w:cs="Times New Roman" w:ascii="Times New Roman" w:hAnsi="Times New Roman"/>
          <w:sz w:val="24"/>
        </w:rPr>
        <w:t>The Department of Justice has not decided whether to intervene in this case.</w:t>
      </w:r>
    </w:p>
    <w:p>
      <w:pPr>
        <w:pStyle w:val="Normal"/>
        <w:keepLines/>
        <w:jc w:val="both"/>
        <w:rPr>
          <w:rFonts w:ascii="Times New Roman" w:hAnsi="Times New Roman" w:cs="Times New Roman"/>
          <w:sz w:val="24"/>
        </w:rPr>
      </w:pPr>
      <w:r>
        <w:rPr>
          <w:rFonts w:cs="Times New Roman" w:ascii="Times New Roman" w:hAnsi="Times New Roman"/>
          <w:sz w:val="24"/>
        </w:rPr>
      </w:r>
    </w:p>
    <w:p>
      <w:pPr>
        <w:pStyle w:val="Heading"/>
        <w:keepLines/>
        <w:rPr>
          <w:rFonts w:ascii="Times New Roman" w:hAnsi="Times New Roman" w:cs="Times New Roman"/>
          <w:u w:val="single"/>
        </w:rPr>
      </w:pPr>
      <w:r>
        <w:rPr>
          <w:rFonts w:cs="Times New Roman" w:ascii="Times New Roman" w:hAnsi="Times New Roman"/>
          <w:u w:val="single"/>
        </w:rPr>
        <w:t>Enron Industrial Markets LLC</w:t>
      </w:r>
    </w:p>
    <w:p>
      <w:pPr>
        <w:pStyle w:val="Normal"/>
        <w:keepLines/>
        <w:ind w:start="360" w:end="0"/>
        <w:rPr>
          <w:rFonts w:ascii="Times New Roman" w:hAnsi="Times New Roman" w:cs="Times New Roman"/>
          <w:sz w:val="24"/>
        </w:rPr>
      </w:pPr>
      <w:r>
        <w:rPr>
          <w:rFonts w:cs="Times New Roman" w:ascii="Times New Roman" w:hAnsi="Times New Roman"/>
          <w:sz w:val="24"/>
        </w:rPr>
        <w:t xml:space="preserve"> </w:t>
      </w:r>
    </w:p>
    <w:p>
      <w:pPr>
        <w:pStyle w:val="Heading1"/>
        <w:keepNext w:val="false"/>
        <w:keepLines/>
        <w:rPr>
          <w:sz w:val="24"/>
        </w:rPr>
      </w:pPr>
      <w:r>
        <w:rPr>
          <w:sz w:val="24"/>
        </w:rPr>
        <w:t>Organization</w:t>
      </w:r>
    </w:p>
    <w:p>
      <w:pPr>
        <w:pStyle w:val="Normal"/>
        <w:keepLines/>
        <w:rPr>
          <w:rFonts w:ascii="Times New Roman" w:hAnsi="Times New Roman" w:cs="Times New Roman"/>
          <w:sz w:val="24"/>
        </w:rPr>
      </w:pPr>
      <w:r>
        <w:rPr>
          <w:rFonts w:cs="Times New Roman" w:ascii="Times New Roman" w:hAnsi="Times New Roman"/>
          <w:sz w:val="24"/>
        </w:rPr>
      </w:r>
    </w:p>
    <w:p>
      <w:pPr>
        <w:pStyle w:val="Normal"/>
        <w:keepLines/>
        <w:numPr>
          <w:ilvl w:val="0"/>
          <w:numId w:val="17"/>
        </w:numPr>
        <w:rPr>
          <w:rFonts w:ascii="Times New Roman" w:hAnsi="Times New Roman" w:cs="Times New Roman"/>
          <w:sz w:val="24"/>
        </w:rPr>
      </w:pPr>
      <w:r>
        <w:rPr>
          <w:rFonts w:cs="Times New Roman" w:ascii="Times New Roman" w:hAnsi="Times New Roman"/>
          <w:sz w:val="24"/>
        </w:rPr>
        <w:t>Establishment of EIM [Julia Murray]</w:t>
      </w:r>
    </w:p>
    <w:p>
      <w:pPr>
        <w:pStyle w:val="Normal"/>
        <w:keepLines/>
        <w:numPr>
          <w:ilvl w:val="0"/>
          <w:numId w:val="17"/>
        </w:numPr>
        <w:rPr>
          <w:rFonts w:ascii="Times New Roman" w:hAnsi="Times New Roman" w:cs="Times New Roman"/>
          <w:sz w:val="24"/>
        </w:rPr>
      </w:pPr>
      <w:r>
        <w:rPr>
          <w:rFonts w:cs="Times New Roman" w:ascii="Times New Roman" w:hAnsi="Times New Roman"/>
          <w:sz w:val="24"/>
        </w:rPr>
        <w:t>Organization of Trading/Operations structures (ENA, EIM, NetWorks Partners) [Julia Murray]</w:t>
      </w:r>
    </w:p>
    <w:p>
      <w:pPr>
        <w:pStyle w:val="Normal"/>
        <w:keepLines/>
        <w:numPr>
          <w:ilvl w:val="0"/>
          <w:numId w:val="17"/>
        </w:numPr>
        <w:rPr>
          <w:rFonts w:ascii="Times New Roman" w:hAnsi="Times New Roman" w:cs="Times New Roman"/>
          <w:sz w:val="24"/>
        </w:rPr>
      </w:pPr>
      <w:r>
        <w:rPr>
          <w:rFonts w:cs="Times New Roman" w:ascii="Times New Roman" w:hAnsi="Times New Roman"/>
          <w:sz w:val="24"/>
        </w:rPr>
        <w:t>Coordination with Enron NetWorks Partners [Julia Murray]</w:t>
      </w:r>
    </w:p>
    <w:p>
      <w:pPr>
        <w:pStyle w:val="Heading1"/>
        <w:keepNext w:val="false"/>
        <w:keepLines/>
        <w:rPr>
          <w:rFonts w:ascii="Times New Roman" w:hAnsi="Times New Roman" w:cs="Times New Roman"/>
          <w:b w:val="false"/>
          <w:bCs/>
          <w:sz w:val="24"/>
        </w:rPr>
      </w:pPr>
      <w:r>
        <w:rPr>
          <w:rFonts w:cs="Times New Roman"/>
          <w:b w:val="false"/>
          <w:bCs/>
          <w:sz w:val="24"/>
        </w:rPr>
      </w:r>
    </w:p>
    <w:p>
      <w:pPr>
        <w:pStyle w:val="Heading1"/>
        <w:keepNext w:val="false"/>
        <w:keepLines/>
        <w:rPr>
          <w:sz w:val="24"/>
        </w:rPr>
      </w:pPr>
      <w:r>
        <w:rPr>
          <w:sz w:val="24"/>
        </w:rPr>
        <w:t>Pulp &amp; Paper</w:t>
      </w:r>
    </w:p>
    <w:p>
      <w:pPr>
        <w:pStyle w:val="Normal"/>
        <w:keepLines/>
        <w:rPr>
          <w:rFonts w:ascii="Times New Roman" w:hAnsi="Times New Roman" w:cs="Times New Roman"/>
          <w:sz w:val="24"/>
        </w:rPr>
      </w:pPr>
      <w:r>
        <w:rPr>
          <w:rFonts w:cs="Times New Roman" w:ascii="Times New Roman" w:hAnsi="Times New Roman"/>
          <w:sz w:val="24"/>
        </w:rPr>
      </w:r>
    </w:p>
    <w:p>
      <w:pPr>
        <w:pStyle w:val="Normal"/>
        <w:keepLines/>
        <w:numPr>
          <w:ilvl w:val="0"/>
          <w:numId w:val="10"/>
        </w:numPr>
        <w:rPr>
          <w:rFonts w:ascii="Times New Roman" w:hAnsi="Times New Roman" w:cs="Times New Roman"/>
          <w:sz w:val="24"/>
        </w:rPr>
      </w:pPr>
      <w:r>
        <w:rPr>
          <w:rFonts w:cs="Times New Roman" w:ascii="Times New Roman" w:hAnsi="Times New Roman"/>
          <w:sz w:val="24"/>
        </w:rPr>
        <w:t>Mergers &amp; Acquisitions/Originations [Peter del Vecchio]</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Project Falcon</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Project Crane</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Georgia Pacific-Brunswick, et al.</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CVRD (Brazilian pulp &amp; paper interests)</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Celgar</w:t>
      </w:r>
    </w:p>
    <w:p>
      <w:pPr>
        <w:pStyle w:val="Normal"/>
        <w:keepLines/>
        <w:numPr>
          <w:ilvl w:val="0"/>
          <w:numId w:val="10"/>
        </w:numPr>
        <w:rPr>
          <w:rFonts w:ascii="Times New Roman" w:hAnsi="Times New Roman" w:cs="Times New Roman"/>
          <w:sz w:val="24"/>
        </w:rPr>
      </w:pPr>
      <w:r>
        <w:rPr>
          <w:rFonts w:cs="Times New Roman" w:ascii="Times New Roman" w:hAnsi="Times New Roman"/>
          <w:sz w:val="24"/>
        </w:rPr>
        <w:t>Garden State Paper [Peter del Vecchio]</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Post-closing matters</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Operations</w:t>
      </w:r>
    </w:p>
    <w:p>
      <w:pPr>
        <w:pStyle w:val="Normal"/>
        <w:keepLines/>
        <w:numPr>
          <w:ilvl w:val="0"/>
          <w:numId w:val="10"/>
        </w:numPr>
        <w:rPr>
          <w:rFonts w:ascii="Times New Roman" w:hAnsi="Times New Roman" w:cs="Times New Roman"/>
          <w:sz w:val="24"/>
        </w:rPr>
      </w:pPr>
      <w:r>
        <w:rPr>
          <w:rFonts w:cs="Times New Roman" w:ascii="Times New Roman" w:hAnsi="Times New Roman"/>
          <w:sz w:val="24"/>
        </w:rPr>
        <w:t>Physical Trading [Harry Collins]</w:t>
      </w:r>
    </w:p>
    <w:p>
      <w:pPr>
        <w:pStyle w:val="BodyTextIndent"/>
        <w:keepLines/>
        <w:numPr>
          <w:ilvl w:val="1"/>
          <w:numId w:val="10"/>
        </w:numPr>
        <w:rPr>
          <w:sz w:val="24"/>
        </w:rPr>
      </w:pPr>
      <w:r>
        <w:rPr>
          <w:sz w:val="24"/>
        </w:rPr>
        <w:t>Pulp &amp; Paper/Lumber Counterparties</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Electronic Trading (Clickpaper.com, EOL)</w:t>
      </w:r>
    </w:p>
    <w:p>
      <w:pPr>
        <w:pStyle w:val="Normal"/>
        <w:keepLines/>
        <w:numPr>
          <w:ilvl w:val="1"/>
          <w:numId w:val="10"/>
        </w:numPr>
        <w:rPr>
          <w:rFonts w:ascii="Times New Roman" w:hAnsi="Times New Roman" w:cs="Times New Roman"/>
          <w:sz w:val="24"/>
        </w:rPr>
      </w:pPr>
      <w:r>
        <w:rPr>
          <w:rFonts w:cs="Times New Roman" w:ascii="Times New Roman" w:hAnsi="Times New Roman"/>
          <w:sz w:val="24"/>
        </w:rPr>
        <w:t>Garden State Paper (ONP feedstock agreements)</w:t>
      </w:r>
    </w:p>
    <w:p>
      <w:pPr>
        <w:pStyle w:val="Normal"/>
        <w:keepLines/>
        <w:rPr>
          <w:rFonts w:ascii="Times New Roman" w:hAnsi="Times New Roman" w:cs="Times New Roman"/>
          <w:sz w:val="24"/>
        </w:rPr>
      </w:pPr>
      <w:r>
        <w:rPr>
          <w:rFonts w:cs="Times New Roman" w:ascii="Times New Roman" w:hAnsi="Times New Roman"/>
          <w:sz w:val="24"/>
        </w:rPr>
      </w:r>
    </w:p>
    <w:p>
      <w:pPr>
        <w:pStyle w:val="Heading2"/>
        <w:keepNext w:val="false"/>
        <w:keepLines/>
        <w:rPr>
          <w:b/>
          <w:bCs/>
          <w:sz w:val="24"/>
        </w:rPr>
      </w:pPr>
      <w:r>
        <w:rPr>
          <w:b/>
          <w:bCs/>
          <w:sz w:val="24"/>
        </w:rPr>
        <w:t>Steel</w:t>
      </w:r>
    </w:p>
    <w:p>
      <w:pPr>
        <w:pStyle w:val="Normal"/>
        <w:keepLines/>
        <w:rPr>
          <w:rFonts w:ascii="Times New Roman" w:hAnsi="Times New Roman" w:cs="Times New Roman"/>
          <w:b/>
          <w:bCs/>
          <w:sz w:val="24"/>
        </w:rPr>
      </w:pPr>
      <w:r>
        <w:rPr>
          <w:rFonts w:cs="Times New Roman" w:ascii="Times New Roman" w:hAnsi="Times New Roman"/>
          <w:b/>
          <w:bCs/>
          <w:sz w:val="24"/>
        </w:rPr>
      </w:r>
    </w:p>
    <w:p>
      <w:pPr>
        <w:pStyle w:val="Normal"/>
        <w:keepLines/>
        <w:numPr>
          <w:ilvl w:val="0"/>
          <w:numId w:val="15"/>
        </w:numPr>
        <w:rPr>
          <w:rFonts w:ascii="Times New Roman" w:hAnsi="Times New Roman" w:cs="Times New Roman"/>
          <w:sz w:val="24"/>
        </w:rPr>
      </w:pPr>
      <w:r>
        <w:rPr>
          <w:rFonts w:cs="Times New Roman" w:ascii="Times New Roman" w:hAnsi="Times New Roman"/>
          <w:sz w:val="24"/>
        </w:rPr>
        <w:t>Electronic Trading [Harry Collins]</w:t>
      </w:r>
    </w:p>
    <w:p>
      <w:pPr>
        <w:pStyle w:val="Normal"/>
        <w:keepLines/>
        <w:numPr>
          <w:ilvl w:val="0"/>
          <w:numId w:val="15"/>
        </w:numPr>
        <w:rPr>
          <w:rFonts w:ascii="Times New Roman" w:hAnsi="Times New Roman" w:cs="Times New Roman"/>
          <w:sz w:val="24"/>
        </w:rPr>
      </w:pPr>
      <w:r>
        <w:rPr>
          <w:rFonts w:cs="Times New Roman" w:ascii="Times New Roman" w:hAnsi="Times New Roman"/>
          <w:sz w:val="24"/>
        </w:rPr>
        <w:t>Forms Development (Consignment transactions, Physical trading) [Harry Collins]</w:t>
      </w:r>
    </w:p>
    <w:p>
      <w:pPr>
        <w:pStyle w:val="Normal"/>
        <w:keepNext w:val="true"/>
        <w:keepLines/>
        <w:rPr>
          <w:rFonts w:ascii="Times New Roman" w:hAnsi="Times New Roman" w:cs="Times New Roman"/>
          <w:sz w:val="24"/>
        </w:rPr>
      </w:pPr>
      <w:r>
        <w:rPr>
          <w:rFonts w:cs="Times New Roman" w:ascii="Times New Roman" w:hAnsi="Times New Roman"/>
          <w:sz w:val="24"/>
        </w:rPr>
      </w:r>
    </w:p>
    <w:p>
      <w:pPr>
        <w:pStyle w:val="Heading2"/>
        <w:keepLines/>
        <w:rPr>
          <w:b/>
          <w:bCs/>
          <w:sz w:val="24"/>
        </w:rPr>
      </w:pPr>
      <w:r>
        <w:rPr>
          <w:b/>
          <w:bCs/>
          <w:sz w:val="24"/>
        </w:rPr>
        <w:t>Miscellaneous</w:t>
      </w:r>
    </w:p>
    <w:p>
      <w:pPr>
        <w:pStyle w:val="Normal"/>
        <w:keepNext w:val="true"/>
        <w:keepLines/>
        <w:rPr>
          <w:rFonts w:ascii="Times New Roman" w:hAnsi="Times New Roman" w:cs="Times New Roman"/>
          <w:b/>
          <w:bCs/>
          <w:sz w:val="24"/>
        </w:rPr>
      </w:pPr>
      <w:r>
        <w:rPr>
          <w:rFonts w:cs="Times New Roman" w:ascii="Times New Roman" w:hAnsi="Times New Roman"/>
          <w:b/>
          <w:bCs/>
          <w:sz w:val="24"/>
        </w:rPr>
      </w:r>
    </w:p>
    <w:p>
      <w:pPr>
        <w:pStyle w:val="Normal"/>
        <w:keepNext w:val="true"/>
        <w:keepLines/>
        <w:numPr>
          <w:ilvl w:val="0"/>
          <w:numId w:val="13"/>
        </w:numPr>
        <w:rPr>
          <w:rFonts w:ascii="Times New Roman" w:hAnsi="Times New Roman" w:cs="Times New Roman"/>
          <w:sz w:val="24"/>
        </w:rPr>
      </w:pPr>
      <w:r>
        <w:rPr>
          <w:rFonts w:cs="Times New Roman" w:ascii="Times New Roman" w:hAnsi="Times New Roman"/>
          <w:sz w:val="24"/>
        </w:rPr>
        <w:t>Garden State Paper-Antitrust training</w:t>
      </w:r>
    </w:p>
    <w:p>
      <w:pPr>
        <w:pStyle w:val="Normal"/>
        <w:keepNext w:val="true"/>
        <w:keepLines/>
        <w:numPr>
          <w:ilvl w:val="0"/>
          <w:numId w:val="13"/>
        </w:numPr>
        <w:rPr>
          <w:rFonts w:ascii="Times New Roman" w:hAnsi="Times New Roman" w:cs="Times New Roman"/>
          <w:sz w:val="24"/>
        </w:rPr>
      </w:pPr>
      <w:r>
        <w:rPr>
          <w:rFonts w:cs="Times New Roman" w:ascii="Times New Roman" w:hAnsi="Times New Roman"/>
          <w:sz w:val="24"/>
        </w:rPr>
        <w:t>Preparation of 2001 EIM Legal Budget</w:t>
      </w:r>
    </w:p>
    <w:p>
      <w:pPr>
        <w:pStyle w:val="EndnoteText"/>
        <w:keepNext w:val="true"/>
        <w:rPr>
          <w:rFonts w:ascii="Times New Roman" w:hAnsi="Times New Roman" w:cs="Times New Roman"/>
          <w:sz w:val="24"/>
        </w:rPr>
      </w:pPr>
      <w:r>
        <w:rPr>
          <w:rFonts w:cs="Times New Roman" w:ascii="Times New Roman" w:hAnsi="Times New Roman"/>
          <w:sz w:val="24"/>
        </w:rPr>
      </w:r>
    </w:p>
    <w:p>
      <w:pPr>
        <w:pStyle w:val="EndnoteText"/>
        <w:keepNext w:val="true"/>
        <w:rPr>
          <w:rFonts w:ascii="Times New Roman" w:hAnsi="Times New Roman" w:cs="Times New Roman"/>
          <w:sz w:val="24"/>
        </w:rPr>
      </w:pPr>
      <w:r>
        <w:rPr>
          <w:rFonts w:cs="Times New Roman" w:ascii="Times New Roman" w:hAnsi="Times New Roman"/>
          <w:sz w:val="24"/>
        </w:rPr>
      </w:r>
    </w:p>
    <w:p>
      <w:pPr>
        <w:pStyle w:val="Heading8"/>
        <w:ind w:hanging="0" w:start="0"/>
        <w:rPr>
          <w:rFonts w:ascii="Times New Roman" w:hAnsi="Times New Roman" w:cs="Times New Roman"/>
          <w:sz w:val="24"/>
          <w:u w:val="single"/>
        </w:rPr>
      </w:pPr>
      <w:r>
        <w:rPr>
          <w:rFonts w:cs="Times New Roman" w:ascii="Times New Roman" w:hAnsi="Times New Roman"/>
          <w:sz w:val="24"/>
          <w:u w:val="single"/>
        </w:rPr>
        <w:t>Enron Global Markets LLC</w:t>
      </w:r>
    </w:p>
    <w:p>
      <w:pPr>
        <w:pStyle w:val="Normal"/>
        <w:jc w:val="center"/>
        <w:rPr>
          <w:rFonts w:ascii="Times New Roman" w:hAnsi="Times New Roman" w:cs="Times New Roman"/>
          <w:sz w:val="24"/>
          <w:u w:val="single"/>
        </w:rPr>
      </w:pPr>
      <w:r>
        <w:rPr>
          <w:rFonts w:cs="Times New Roman" w:ascii="Times New Roman" w:hAnsi="Times New Roman"/>
          <w:sz w:val="24"/>
          <w:u w:val="single"/>
        </w:rPr>
      </w:r>
    </w:p>
    <w:p>
      <w:pPr>
        <w:pStyle w:val="Header"/>
        <w:tabs>
          <w:tab w:val="clear" w:pos="4320"/>
          <w:tab w:val="clear" w:pos="8640"/>
        </w:tabs>
        <w:rPr>
          <w:rFonts w:ascii="Times New Roman" w:hAnsi="Times New Roman" w:cs="Times New Roman"/>
          <w:b/>
          <w:bCs/>
          <w:sz w:val="24"/>
          <w:u w:val="single"/>
        </w:rPr>
      </w:pPr>
      <w:r>
        <w:rPr>
          <w:rFonts w:cs="Times New Roman" w:ascii="Times New Roman" w:hAnsi="Times New Roman"/>
          <w:b/>
          <w:bCs/>
          <w:sz w:val="24"/>
          <w:u w:val="single"/>
        </w:rPr>
        <w:t>Coal</w:t>
      </w:r>
    </w:p>
    <w:p>
      <w:pPr>
        <w:pStyle w:val="Normal"/>
        <w:numPr>
          <w:ilvl w:val="0"/>
          <w:numId w:val="7"/>
        </w:numPr>
        <w:rPr>
          <w:rFonts w:ascii="Times New Roman" w:hAnsi="Times New Roman" w:cs="Times New Roman"/>
          <w:sz w:val="24"/>
        </w:rPr>
      </w:pPr>
      <w:r>
        <w:rPr>
          <w:rFonts w:cs="Times New Roman" w:ascii="Times New Roman" w:hAnsi="Times New Roman"/>
          <w:sz w:val="24"/>
        </w:rPr>
        <w:t>PacifiCorp Synfuel Transaction (Wayne Gresham)</w:t>
      </w:r>
    </w:p>
    <w:p>
      <w:pPr>
        <w:pStyle w:val="Normal"/>
        <w:numPr>
          <w:ilvl w:val="0"/>
          <w:numId w:val="7"/>
        </w:numPr>
        <w:rPr>
          <w:rFonts w:ascii="Times New Roman" w:hAnsi="Times New Roman" w:cs="Times New Roman"/>
          <w:sz w:val="24"/>
        </w:rPr>
      </w:pPr>
      <w:r>
        <w:rPr>
          <w:rFonts w:cs="Times New Roman" w:ascii="Times New Roman" w:hAnsi="Times New Roman"/>
          <w:sz w:val="24"/>
        </w:rPr>
        <w:t>AIG Synfuel Transaction (Wayne Gresham)</w:t>
      </w:r>
    </w:p>
    <w:p>
      <w:pPr>
        <w:pStyle w:val="Normal"/>
        <w:numPr>
          <w:ilvl w:val="0"/>
          <w:numId w:val="7"/>
        </w:numPr>
        <w:rPr>
          <w:rFonts w:ascii="Times New Roman" w:hAnsi="Times New Roman" w:cs="Times New Roman"/>
          <w:color w:val="000000"/>
          <w:sz w:val="24"/>
        </w:rPr>
      </w:pPr>
      <w:r>
        <w:rPr>
          <w:rFonts w:cs="Times New Roman" w:ascii="Times New Roman" w:hAnsi="Times New Roman"/>
          <w:color w:val="000000"/>
          <w:sz w:val="24"/>
        </w:rPr>
        <w:t>Massey/Cline/ENA Joint Venture (Wayne Gresham/Marcus Nettelton)</w:t>
      </w:r>
    </w:p>
    <w:p>
      <w:pPr>
        <w:pStyle w:val="Normal"/>
        <w:numPr>
          <w:ilvl w:val="0"/>
          <w:numId w:val="7"/>
        </w:numPr>
        <w:rPr>
          <w:rFonts w:ascii="Times New Roman" w:hAnsi="Times New Roman" w:cs="Times New Roman"/>
          <w:color w:val="000000"/>
          <w:sz w:val="24"/>
        </w:rPr>
      </w:pPr>
      <w:r>
        <w:rPr>
          <w:rFonts w:cs="Times New Roman" w:ascii="Times New Roman" w:hAnsi="Times New Roman"/>
          <w:sz w:val="24"/>
        </w:rPr>
        <w:t>Panther Restructure (Alan Aronowitz)</w:t>
      </w:r>
    </w:p>
    <w:p>
      <w:pPr>
        <w:pStyle w:val="Normal"/>
        <w:numPr>
          <w:ilvl w:val="0"/>
          <w:numId w:val="7"/>
        </w:numPr>
        <w:rPr>
          <w:rFonts w:ascii="Times New Roman" w:hAnsi="Times New Roman" w:cs="Times New Roman"/>
          <w:color w:val="000000"/>
          <w:sz w:val="24"/>
        </w:rPr>
      </w:pPr>
      <w:r>
        <w:rPr>
          <w:rFonts w:cs="Times New Roman" w:ascii="Times New Roman" w:hAnsi="Times New Roman"/>
          <w:color w:val="000000"/>
          <w:sz w:val="24"/>
        </w:rPr>
        <w:t>Stadtwerke Bremen Transaction (Robert Quick\Michael Schuh)</w:t>
      </w:r>
    </w:p>
    <w:p>
      <w:pPr>
        <w:pStyle w:val="Normal"/>
        <w:numPr>
          <w:ilvl w:val="0"/>
          <w:numId w:val="7"/>
        </w:numPr>
        <w:rPr>
          <w:rFonts w:ascii="Times New Roman" w:hAnsi="Times New Roman" w:cs="Times New Roman"/>
          <w:color w:val="000000"/>
          <w:sz w:val="24"/>
        </w:rPr>
      </w:pPr>
      <w:r>
        <w:rPr>
          <w:rFonts w:cs="Times New Roman" w:ascii="Times New Roman" w:hAnsi="Times New Roman"/>
          <w:color w:val="000000"/>
          <w:sz w:val="24"/>
        </w:rPr>
        <w:t>BSES Indian Coal Supply Tender (Robert Quick)</w:t>
      </w:r>
    </w:p>
    <w:p>
      <w:pPr>
        <w:pStyle w:val="Normal"/>
        <w:numPr>
          <w:ilvl w:val="0"/>
          <w:numId w:val="7"/>
        </w:numPr>
        <w:rPr>
          <w:rFonts w:ascii="Times New Roman" w:hAnsi="Times New Roman" w:cs="Times New Roman"/>
          <w:sz w:val="24"/>
        </w:rPr>
      </w:pPr>
      <w:r>
        <w:rPr>
          <w:rFonts w:cs="Times New Roman" w:ascii="Times New Roman" w:hAnsi="Times New Roman"/>
          <w:color w:val="000000"/>
          <w:sz w:val="24"/>
        </w:rPr>
        <w:t>Billiton South African Coal Sales and Purchases (Robert Quick)</w:t>
      </w:r>
    </w:p>
    <w:p>
      <w:pPr>
        <w:pStyle w:val="Normal"/>
        <w:rPr>
          <w:rFonts w:ascii="Times New Roman" w:hAnsi="Times New Roman" w:cs="Times New Roman"/>
          <w:sz w:val="24"/>
        </w:rPr>
      </w:pPr>
      <w:r>
        <w:rPr>
          <w:rFonts w:cs="Times New Roman" w:ascii="Times New Roman" w:hAnsi="Times New Roman"/>
          <w:sz w:val="24"/>
        </w:rPr>
      </w:r>
    </w:p>
    <w:p>
      <w:pPr>
        <w:pStyle w:val="Heading5"/>
        <w:widowControl w:val="false"/>
        <w:tabs>
          <w:tab w:val="clear" w:pos="720"/>
          <w:tab w:val="clear" w:pos="5106"/>
          <w:tab w:val="clear" w:pos="7254"/>
        </w:tabs>
        <w:spacing w:before="0" w:after="0"/>
        <w:ind w:hanging="0" w:start="0"/>
        <w:rPr>
          <w:sz w:val="24"/>
        </w:rPr>
      </w:pPr>
      <w:r>
        <w:rPr>
          <w:sz w:val="24"/>
        </w:rPr>
        <w:t>Emissions/Clean Energy Solutions</w:t>
      </w:r>
    </w:p>
    <w:p>
      <w:pPr>
        <w:pStyle w:val="Normal"/>
        <w:ind w:start="360" w:end="0"/>
        <w:rPr>
          <w:rFonts w:ascii="Times New Roman" w:hAnsi="Times New Roman" w:cs="Times New Roman"/>
          <w:sz w:val="24"/>
        </w:rPr>
      </w:pPr>
      <w:r>
        <w:rPr>
          <w:rFonts w:cs="Times New Roman" w:ascii="Times New Roman" w:hAnsi="Times New Roman"/>
          <w:sz w:val="24"/>
        </w:rPr>
        <w:t>1.</w:t>
        <w:tab/>
        <w:t>NOx Tech Pilot Agreement with Consumers Energy (Marcus Nettelton)</w:t>
      </w:r>
    </w:p>
    <w:p>
      <w:pPr>
        <w:pStyle w:val="Normal"/>
        <w:ind w:start="360" w:end="0"/>
        <w:rPr>
          <w:rFonts w:ascii="Times New Roman" w:hAnsi="Times New Roman" w:cs="Times New Roman"/>
          <w:sz w:val="24"/>
        </w:rPr>
      </w:pPr>
      <w:r>
        <w:rPr>
          <w:rFonts w:cs="Times New Roman" w:ascii="Times New Roman" w:hAnsi="Times New Roman"/>
          <w:sz w:val="24"/>
        </w:rPr>
        <w:t>2.</w:t>
        <w:tab/>
        <w:t>NOx Tech Warrants Purchase (Wayne Gresham/Alan Aronowitz)</w:t>
      </w:r>
    </w:p>
    <w:p>
      <w:pPr>
        <w:pStyle w:val="Normal"/>
        <w:ind w:hanging="360" w:start="720" w:end="0"/>
        <w:rPr>
          <w:rFonts w:ascii="Times New Roman" w:hAnsi="Times New Roman" w:cs="Times New Roman"/>
          <w:sz w:val="24"/>
        </w:rPr>
      </w:pPr>
      <w:r>
        <w:rPr>
          <w:rFonts w:cs="Times New Roman" w:ascii="Times New Roman" w:hAnsi="Times New Roman"/>
          <w:color w:val="000000"/>
          <w:sz w:val="24"/>
        </w:rPr>
        <w:t>3.</w:t>
        <w:tab/>
        <w:t>Tennessee Valley Authority conceptual proposal for pilot and licensed use of NOxTech technology (Marcus Nettelton)</w:t>
      </w:r>
    </w:p>
    <w:p>
      <w:pPr>
        <w:pStyle w:val="Normal"/>
        <w:numPr>
          <w:ilvl w:val="0"/>
          <w:numId w:val="10"/>
        </w:numPr>
        <w:rPr>
          <w:rFonts w:ascii="Times New Roman" w:hAnsi="Times New Roman" w:cs="Times New Roman"/>
          <w:sz w:val="24"/>
        </w:rPr>
      </w:pPr>
      <w:r>
        <w:rPr>
          <w:rFonts w:cs="Times New Roman" w:ascii="Times New Roman" w:hAnsi="Times New Roman"/>
          <w:color w:val="000000"/>
          <w:sz w:val="24"/>
        </w:rPr>
        <w:t>Emissions Management Services Agreement concept (Marcus Nettelton)</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t xml:space="preserve">  </w:t>
      </w:r>
    </w:p>
    <w:p>
      <w:pPr>
        <w:pStyle w:val="Heading5"/>
        <w:widowControl w:val="false"/>
        <w:tabs>
          <w:tab w:val="clear" w:pos="5106"/>
          <w:tab w:val="clear" w:pos="7254"/>
          <w:tab w:val="left" w:pos="720" w:leader="none"/>
        </w:tabs>
        <w:spacing w:before="0" w:after="0"/>
        <w:ind w:hanging="0" w:start="0"/>
        <w:rPr>
          <w:sz w:val="24"/>
        </w:rPr>
      </w:pPr>
      <w:r>
        <w:rPr>
          <w:sz w:val="24"/>
        </w:rPr>
        <w:t xml:space="preserve">Liquids/Global Products </w:t>
      </w:r>
    </w:p>
    <w:p>
      <w:pPr>
        <w:pStyle w:val="Normal"/>
        <w:numPr>
          <w:ilvl w:val="0"/>
          <w:numId w:val="20"/>
        </w:numPr>
        <w:rPr>
          <w:rFonts w:ascii="Times New Roman" w:hAnsi="Times New Roman" w:cs="Times New Roman"/>
          <w:sz w:val="24"/>
        </w:rPr>
      </w:pPr>
      <w:r>
        <w:rPr>
          <w:rFonts w:cs="Times New Roman" w:ascii="Times New Roman" w:hAnsi="Times New Roman"/>
          <w:sz w:val="24"/>
        </w:rPr>
        <w:t>First Gas Power Corporation (Philippines) – M/V Pacific Virgo/Rejection of Off Spc Cargo (Matt Lee)</w:t>
      </w:r>
    </w:p>
    <w:p>
      <w:pPr>
        <w:pStyle w:val="Normal"/>
        <w:numPr>
          <w:ilvl w:val="0"/>
          <w:numId w:val="20"/>
        </w:numPr>
        <w:rPr>
          <w:rFonts w:ascii="Times New Roman" w:hAnsi="Times New Roman" w:cs="Times New Roman"/>
          <w:sz w:val="24"/>
        </w:rPr>
      </w:pPr>
      <w:r>
        <w:rPr>
          <w:rFonts w:cs="Times New Roman" w:ascii="Times New Roman" w:hAnsi="Times New Roman"/>
          <w:sz w:val="24"/>
        </w:rPr>
        <w:t>First Gas Contract – Legal Position Evaluation (Bob Williams/Alan Aronowitz/Matt Lee)</w:t>
      </w:r>
    </w:p>
    <w:p>
      <w:pPr>
        <w:pStyle w:val="Normal"/>
        <w:numPr>
          <w:ilvl w:val="0"/>
          <w:numId w:val="20"/>
        </w:numPr>
        <w:rPr>
          <w:rFonts w:ascii="Times New Roman" w:hAnsi="Times New Roman" w:cs="Times New Roman"/>
          <w:sz w:val="24"/>
        </w:rPr>
      </w:pPr>
      <w:r>
        <w:rPr>
          <w:rFonts w:cs="Times New Roman" w:ascii="Times New Roman" w:hAnsi="Times New Roman"/>
          <w:sz w:val="24"/>
        </w:rPr>
        <w:t>Fu Bao Power Generating Co. Ltd. (Taiwan) (Matt Lee/Mike Robison)</w:t>
      </w:r>
    </w:p>
    <w:p>
      <w:pPr>
        <w:pStyle w:val="Normal"/>
        <w:numPr>
          <w:ilvl w:val="0"/>
          <w:numId w:val="20"/>
        </w:numPr>
        <w:rPr>
          <w:rFonts w:ascii="Times New Roman" w:hAnsi="Times New Roman" w:cs="Times New Roman"/>
          <w:sz w:val="24"/>
        </w:rPr>
      </w:pPr>
      <w:r>
        <w:rPr>
          <w:rFonts w:cs="Times New Roman" w:ascii="Times New Roman" w:hAnsi="Times New Roman"/>
          <w:sz w:val="24"/>
        </w:rPr>
        <w:t>Rio Polimeros Limitada (MOU) (Mike Robison)</w:t>
      </w:r>
    </w:p>
    <w:p>
      <w:pPr>
        <w:pStyle w:val="Normal"/>
        <w:numPr>
          <w:ilvl w:val="0"/>
          <w:numId w:val="20"/>
        </w:numPr>
        <w:rPr>
          <w:rFonts w:ascii="Times New Roman" w:hAnsi="Times New Roman" w:cs="Times New Roman"/>
          <w:sz w:val="24"/>
        </w:rPr>
      </w:pPr>
      <w:r>
        <w:rPr>
          <w:rFonts w:cs="Times New Roman" w:ascii="Times New Roman" w:hAnsi="Times New Roman"/>
          <w:sz w:val="24"/>
        </w:rPr>
        <w:t>Ethanol Offtake and Marketing Agreement – ECFC/Cascade Grain Products (Mike Robison)</w:t>
      </w:r>
    </w:p>
    <w:p>
      <w:pPr>
        <w:pStyle w:val="Normal"/>
        <w:numPr>
          <w:ilvl w:val="0"/>
          <w:numId w:val="20"/>
        </w:numPr>
        <w:rPr>
          <w:rFonts w:ascii="Times New Roman" w:hAnsi="Times New Roman" w:cs="Times New Roman"/>
          <w:sz w:val="24"/>
        </w:rPr>
      </w:pPr>
      <w:r>
        <w:rPr>
          <w:rFonts w:cs="Times New Roman" w:ascii="Times New Roman" w:hAnsi="Times New Roman"/>
          <w:sz w:val="24"/>
        </w:rPr>
        <w:t>Maersk Marlin – Demurrage Claim (Harry Collins)</w:t>
      </w:r>
    </w:p>
    <w:p>
      <w:pPr>
        <w:pStyle w:val="Normal"/>
        <w:numPr>
          <w:ilvl w:val="0"/>
          <w:numId w:val="20"/>
        </w:numPr>
        <w:rPr>
          <w:rFonts w:ascii="Times New Roman" w:hAnsi="Times New Roman" w:cs="Times New Roman"/>
          <w:sz w:val="24"/>
        </w:rPr>
      </w:pPr>
      <w:r>
        <w:rPr>
          <w:rFonts w:cs="Times New Roman" w:ascii="Times New Roman" w:hAnsi="Times New Roman"/>
          <w:sz w:val="24"/>
        </w:rPr>
        <w:t>West Coast Crude Marketing Agreement with EOTT (Harry Collins)</w:t>
      </w:r>
    </w:p>
    <w:p>
      <w:pPr>
        <w:pStyle w:val="Normal"/>
        <w:numPr>
          <w:ilvl w:val="0"/>
          <w:numId w:val="20"/>
        </w:numPr>
        <w:rPr>
          <w:rFonts w:ascii="Times New Roman" w:hAnsi="Times New Roman" w:cs="Times New Roman"/>
          <w:sz w:val="24"/>
        </w:rPr>
      </w:pPr>
      <w:r>
        <w:rPr>
          <w:rFonts w:cs="Times New Roman" w:ascii="Times New Roman" w:hAnsi="Times New Roman"/>
          <w:sz w:val="24"/>
        </w:rPr>
        <w:t>Oil Spill Plan Training (Alan Aronowitz/Harry Collins)</w:t>
      </w:r>
    </w:p>
    <w:p>
      <w:pPr>
        <w:pStyle w:val="Normal"/>
        <w:numPr>
          <w:ilvl w:val="0"/>
          <w:numId w:val="20"/>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U.S. Customs Self-Audit and Policy Development, and effort to continue U.S. duty drawback legislation (Mike Robison)</w:t>
      </w:r>
    </w:p>
    <w:p>
      <w:pPr>
        <w:pStyle w:val="Normal"/>
        <w:numPr>
          <w:ilvl w:val="0"/>
          <w:numId w:val="20"/>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Dabhol Power Company – Enron Fuels International (India) (Mike Robison)</w:t>
      </w:r>
    </w:p>
    <w:p>
      <w:pPr>
        <w:pStyle w:val="Normal"/>
        <w:numPr>
          <w:ilvl w:val="0"/>
          <w:numId w:val="20"/>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Master Liquids Purchase &amp; Sale Agreement (Alan Aronowitz/Marcus Nettelton)</w:t>
      </w:r>
    </w:p>
    <w:p>
      <w:pPr>
        <w:pStyle w:val="Normal"/>
        <w:rPr>
          <w:rFonts w:ascii="Times New Roman" w:hAnsi="Times New Roman" w:cs="Times New Roman"/>
          <w:b/>
          <w:bCs/>
          <w:sz w:val="24"/>
        </w:rPr>
      </w:pPr>
      <w:r>
        <w:rPr>
          <w:rFonts w:cs="Times New Roman" w:ascii="Times New Roman" w:hAnsi="Times New Roman"/>
          <w:b/>
          <w:bCs/>
          <w:sz w:val="24"/>
        </w:rPr>
      </w:r>
    </w:p>
    <w:p>
      <w:pPr>
        <w:pStyle w:val="Heading5"/>
        <w:widowControl w:val="false"/>
        <w:tabs>
          <w:tab w:val="clear" w:pos="720"/>
          <w:tab w:val="clear" w:pos="5106"/>
          <w:tab w:val="clear" w:pos="7254"/>
        </w:tabs>
        <w:spacing w:before="0" w:after="0"/>
        <w:ind w:hanging="0" w:start="0"/>
        <w:rPr>
          <w:sz w:val="24"/>
        </w:rPr>
      </w:pPr>
      <w:r>
        <w:rPr>
          <w:sz w:val="24"/>
        </w:rPr>
        <w:t>Financial Products Trading</w:t>
      </w:r>
    </w:p>
    <w:p>
      <w:pPr>
        <w:pStyle w:val="Normal"/>
        <w:numPr>
          <w:ilvl w:val="0"/>
          <w:numId w:val="16"/>
        </w:numPr>
        <w:rPr>
          <w:rFonts w:ascii="Times New Roman" w:hAnsi="Times New Roman" w:cs="Times New Roman"/>
          <w:sz w:val="24"/>
        </w:rPr>
      </w:pPr>
      <w:r>
        <w:rPr>
          <w:rFonts w:cs="Times New Roman" w:ascii="Times New Roman" w:hAnsi="Times New Roman"/>
          <w:sz w:val="24"/>
        </w:rPr>
        <w:t>Global hedging of interest rate/FX/equities (Sara Shackleton)</w:t>
      </w:r>
    </w:p>
    <w:p>
      <w:pPr>
        <w:pStyle w:val="Normal"/>
        <w:numPr>
          <w:ilvl w:val="0"/>
          <w:numId w:val="16"/>
        </w:numPr>
        <w:rPr>
          <w:rFonts w:ascii="Times New Roman" w:hAnsi="Times New Roman" w:cs="Times New Roman"/>
          <w:sz w:val="24"/>
        </w:rPr>
      </w:pPr>
      <w:r>
        <w:rPr>
          <w:rFonts w:cs="Times New Roman" w:ascii="Times New Roman" w:hAnsi="Times New Roman"/>
          <w:sz w:val="24"/>
        </w:rPr>
        <w:t>Integrate Tokyo office (Jane McBride)</w:t>
      </w:r>
    </w:p>
    <w:p>
      <w:pPr>
        <w:pStyle w:val="Normal"/>
        <w:numPr>
          <w:ilvl w:val="0"/>
          <w:numId w:val="16"/>
        </w:numPr>
        <w:rPr>
          <w:rFonts w:ascii="Times New Roman" w:hAnsi="Times New Roman" w:cs="Times New Roman"/>
          <w:sz w:val="24"/>
        </w:rPr>
      </w:pPr>
      <w:r>
        <w:rPr>
          <w:rFonts w:cs="Times New Roman" w:ascii="Times New Roman" w:hAnsi="Times New Roman"/>
          <w:sz w:val="24"/>
        </w:rPr>
        <w:t>London Equity Trading (Paul Simons)</w:t>
      </w:r>
    </w:p>
    <w:p>
      <w:pPr>
        <w:pStyle w:val="Normal"/>
        <w:rPr>
          <w:rFonts w:ascii="Times New Roman" w:hAnsi="Times New Roman" w:cs="Times New Roman"/>
          <w:b/>
          <w:bCs/>
          <w:sz w:val="24"/>
        </w:rPr>
      </w:pPr>
      <w:r>
        <w:rPr>
          <w:rFonts w:cs="Times New Roman" w:ascii="Times New Roman" w:hAnsi="Times New Roman"/>
          <w:b/>
          <w:bCs/>
          <w:sz w:val="24"/>
        </w:rPr>
      </w:r>
    </w:p>
    <w:p>
      <w:pPr>
        <w:pStyle w:val="Heading5"/>
        <w:widowControl w:val="false"/>
        <w:tabs>
          <w:tab w:val="clear" w:pos="720"/>
          <w:tab w:val="clear" w:pos="5106"/>
          <w:tab w:val="clear" w:pos="7254"/>
        </w:tabs>
        <w:spacing w:before="0" w:after="0"/>
        <w:ind w:hanging="0" w:start="0"/>
        <w:rPr>
          <w:sz w:val="24"/>
        </w:rPr>
      </w:pPr>
      <w:r>
        <w:rPr>
          <w:sz w:val="24"/>
        </w:rPr>
        <w:t>Transportation</w:t>
      </w:r>
    </w:p>
    <w:p>
      <w:pPr>
        <w:pStyle w:val="Normal"/>
        <w:numPr>
          <w:ilvl w:val="1"/>
          <w:numId w:val="20"/>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Transportation Capacity Trading Start-Up (Alan Aronowitz/Mark Greenberg)</w:t>
      </w:r>
    </w:p>
    <w:p>
      <w:pPr>
        <w:pStyle w:val="Normal"/>
        <w:tabs>
          <w:tab w:val="left" w:pos="36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keepNext w:val="true"/>
        <w:rPr/>
      </w:pPr>
      <w:r>
        <w:rPr>
          <w:rFonts w:cs="Times New Roman" w:ascii="Times New Roman" w:hAnsi="Times New Roman"/>
          <w:b/>
          <w:bCs/>
          <w:sz w:val="24"/>
          <w:u w:val="single"/>
        </w:rPr>
        <w:t>Agricultural Trading</w:t>
      </w:r>
      <w:r>
        <w:rPr>
          <w:rFonts w:cs="Times New Roman" w:ascii="Times New Roman" w:hAnsi="Times New Roman"/>
          <w:b/>
          <w:bCs/>
          <w:sz w:val="24"/>
        </w:rPr>
        <w:t xml:space="preserve"> (Sara Shackleton/Bob Bruce)</w:t>
      </w:r>
    </w:p>
    <w:p>
      <w:pPr>
        <w:pStyle w:val="Normal"/>
        <w:keepNext w:val="true"/>
        <w:ind w:start="360" w:end="0"/>
        <w:rPr>
          <w:rFonts w:ascii="Times New Roman" w:hAnsi="Times New Roman" w:cs="Times New Roman"/>
          <w:sz w:val="24"/>
        </w:rPr>
      </w:pPr>
      <w:r>
        <w:rPr>
          <w:rFonts w:cs="Times New Roman" w:ascii="Times New Roman" w:hAnsi="Times New Roman"/>
          <w:sz w:val="24"/>
        </w:rPr>
        <w:t>1.   ATOM licensing (U.S.)</w:t>
      </w:r>
    </w:p>
    <w:p>
      <w:pPr>
        <w:pStyle w:val="Normal"/>
        <w:keepNext w:val="true"/>
        <w:ind w:start="360" w:end="0"/>
        <w:rPr>
          <w:rFonts w:ascii="Times New Roman" w:hAnsi="Times New Roman" w:cs="Times New Roman"/>
          <w:sz w:val="24"/>
        </w:rPr>
      </w:pPr>
      <w:r>
        <w:rPr>
          <w:rFonts w:cs="Times New Roman" w:ascii="Times New Roman" w:hAnsi="Times New Roman"/>
          <w:sz w:val="24"/>
        </w:rPr>
        <w:t>2.</w:t>
        <w:tab/>
        <w:t>CFTC issues (grains, meats)</w:t>
      </w:r>
    </w:p>
    <w:p>
      <w:pPr>
        <w:pStyle w:val="Normal"/>
        <w:keepNext w:val="true"/>
        <w:ind w:firstLine="360" w:end="0"/>
        <w:rPr>
          <w:rFonts w:ascii="Times New Roman" w:hAnsi="Times New Roman" w:cs="Times New Roman"/>
          <w:sz w:val="24"/>
        </w:rPr>
      </w:pPr>
      <w:r>
        <w:rPr>
          <w:rFonts w:cs="Times New Roman" w:ascii="Times New Roman" w:hAnsi="Times New Roman"/>
          <w:sz w:val="24"/>
        </w:rPr>
        <w:t>3.</w:t>
        <w:tab/>
        <w:t>Physical trading structures</w:t>
      </w:r>
    </w:p>
    <w:p>
      <w:pPr>
        <w:pStyle w:val="Normal"/>
        <w:keepNext w:val="true"/>
        <w:numPr>
          <w:ilvl w:val="0"/>
          <w:numId w:val="16"/>
        </w:numPr>
        <w:rPr>
          <w:rFonts w:ascii="Times New Roman" w:hAnsi="Times New Roman" w:cs="Times New Roman"/>
          <w:sz w:val="24"/>
        </w:rPr>
      </w:pPr>
      <w:r>
        <w:rPr>
          <w:rFonts w:cs="Times New Roman" w:ascii="Times New Roman" w:hAnsi="Times New Roman"/>
          <w:sz w:val="24"/>
        </w:rPr>
        <w:t>Softs trading profile</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pPr>
      <w:r>
        <w:rPr>
          <w:rFonts w:cs="Times New Roman" w:ascii="Times New Roman" w:hAnsi="Times New Roman"/>
          <w:b/>
          <w:bCs/>
          <w:sz w:val="24"/>
          <w:u w:val="single"/>
        </w:rPr>
        <w:t>Weather</w:t>
      </w:r>
      <w:r>
        <w:rPr>
          <w:rFonts w:cs="Times New Roman" w:ascii="Times New Roman" w:hAnsi="Times New Roman"/>
          <w:b/>
          <w:bCs/>
          <w:sz w:val="24"/>
        </w:rPr>
        <w:t xml:space="preserve"> (Brent Hendry)</w:t>
      </w:r>
    </w:p>
    <w:p>
      <w:pPr>
        <w:pStyle w:val="Normal"/>
        <w:tabs>
          <w:tab w:val="left" w:pos="360" w:leader="none"/>
          <w:tab w:val="left" w:pos="720" w:leader="none"/>
        </w:tabs>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ab/>
        <w:t>1.</w:t>
        <w:tab/>
        <w:t>3 Year Sacramento Municipal Utility District Precipitation Collar</w:t>
      </w:r>
    </w:p>
    <w:p>
      <w:pPr>
        <w:pStyle w:val="Normal"/>
        <w:tabs>
          <w:tab w:val="clear" w:pos="720"/>
          <w:tab w:val="left" w:pos="360" w:leader="none"/>
        </w:tabs>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ab/>
        <w:t>2.</w:t>
        <w:tab/>
        <w:t>Hanover Re Weather Derivative Insurance Master Policy</w:t>
      </w:r>
    </w:p>
    <w:p>
      <w:pPr>
        <w:pStyle w:val="Normal"/>
        <w:tabs>
          <w:tab w:val="clear" w:pos="720"/>
          <w:tab w:val="left" w:pos="360" w:leader="none"/>
        </w:tabs>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ab/>
        <w:t>3.</w:t>
        <w:tab/>
        <w:t>ELRiX online weather trading site and documentation</w:t>
      </w:r>
    </w:p>
    <w:p>
      <w:pPr>
        <w:pStyle w:val="Normal"/>
        <w:rPr>
          <w:rFonts w:ascii="Times New Roman" w:hAnsi="Times New Roman" w:cs="Times New Roman"/>
          <w:b/>
          <w:bCs/>
          <w:color w:val="000000"/>
          <w:sz w:val="24"/>
        </w:rPr>
      </w:pPr>
      <w:r>
        <w:rPr>
          <w:rFonts w:cs="Times New Roman" w:ascii="Times New Roman" w:hAnsi="Times New Roman"/>
          <w:b/>
          <w:bCs/>
          <w:color w:val="000000"/>
          <w:sz w:val="24"/>
        </w:rPr>
      </w:r>
    </w:p>
    <w:p>
      <w:pPr>
        <w:pStyle w:val="Normal"/>
        <w:keepNext w:val="true"/>
        <w:keepLines/>
        <w:rPr/>
      </w:pPr>
      <w:r>
        <w:rPr>
          <w:rFonts w:cs="Times New Roman" w:ascii="Times New Roman" w:hAnsi="Times New Roman"/>
          <w:b/>
          <w:bCs/>
          <w:sz w:val="24"/>
          <w:u w:val="single"/>
        </w:rPr>
        <w:t>Insurance</w:t>
      </w:r>
      <w:r>
        <w:rPr>
          <w:rFonts w:cs="Times New Roman" w:ascii="Times New Roman" w:hAnsi="Times New Roman"/>
          <w:b/>
          <w:bCs/>
          <w:sz w:val="24"/>
        </w:rPr>
        <w:t xml:space="preserve"> (Lou Stoler)</w:t>
      </w:r>
    </w:p>
    <w:p>
      <w:pPr>
        <w:pStyle w:val="Header"/>
        <w:keepNext w:val="true"/>
        <w:keepLines/>
        <w:tabs>
          <w:tab w:val="clear" w:pos="4320"/>
          <w:tab w:val="clear" w:pos="8640"/>
          <w:tab w:val="left" w:pos="360" w:leader="none"/>
          <w:tab w:val="left" w:pos="720" w:leader="none"/>
        </w:tabs>
        <w:ind w:start="360" w:end="0"/>
        <w:rPr>
          <w:rFonts w:ascii="Times New Roman" w:hAnsi="Times New Roman" w:cs="Times New Roman"/>
          <w:sz w:val="24"/>
        </w:rPr>
      </w:pPr>
      <w:r>
        <w:rPr>
          <w:rFonts w:cs="Times New Roman" w:ascii="Times New Roman" w:hAnsi="Times New Roman"/>
          <w:sz w:val="24"/>
        </w:rPr>
        <w:t>1.</w:t>
        <w:tab/>
        <w:t>Peaker Project (term financing with insurance credit wrap)</w:t>
      </w:r>
    </w:p>
    <w:p>
      <w:pPr>
        <w:pStyle w:val="Normal"/>
        <w:keepNext w:val="true"/>
        <w:keepLines/>
        <w:ind w:start="360" w:end="0"/>
        <w:rPr>
          <w:rFonts w:ascii="Times New Roman" w:hAnsi="Times New Roman" w:cs="Times New Roman"/>
          <w:sz w:val="24"/>
        </w:rPr>
      </w:pPr>
      <w:r>
        <w:rPr>
          <w:rFonts w:cs="Times New Roman" w:ascii="Times New Roman" w:hAnsi="Times New Roman"/>
          <w:sz w:val="24"/>
        </w:rPr>
        <w:t>2.</w:t>
        <w:tab/>
        <w:t>Enron Re (development projects)</w:t>
      </w:r>
    </w:p>
    <w:p>
      <w:pPr>
        <w:pStyle w:val="Normal"/>
        <w:keepNext w:val="true"/>
        <w:keepLines/>
        <w:numPr>
          <w:ilvl w:val="1"/>
          <w:numId w:val="20"/>
        </w:numPr>
        <w:rPr>
          <w:rFonts w:ascii="Times New Roman" w:hAnsi="Times New Roman" w:cs="Times New Roman"/>
          <w:sz w:val="24"/>
        </w:rPr>
      </w:pPr>
      <w:r>
        <w:rPr>
          <w:rFonts w:cs="Times New Roman" w:ascii="Times New Roman" w:hAnsi="Times New Roman"/>
          <w:sz w:val="24"/>
        </w:rPr>
        <w:t>Pioneer (upstream acquistion with insurance credit wrap)</w:t>
      </w:r>
    </w:p>
    <w:p>
      <w:pPr>
        <w:pStyle w:val="Normal"/>
        <w:keepNext w:val="true"/>
        <w:keepLines/>
        <w:numPr>
          <w:ilvl w:val="1"/>
          <w:numId w:val="20"/>
        </w:numPr>
        <w:tabs>
          <w:tab w:val="clear" w:pos="720"/>
          <w:tab w:val="left" w:pos="360" w:leader="none"/>
        </w:tabs>
        <w:ind w:hanging="0" w:start="360" w:end="0"/>
        <w:rPr>
          <w:rFonts w:ascii="Times New Roman" w:hAnsi="Times New Roman" w:cs="Times New Roman"/>
          <w:sz w:val="24"/>
        </w:rPr>
      </w:pPr>
      <w:r>
        <w:rPr>
          <w:rFonts w:cs="Times New Roman" w:ascii="Times New Roman" w:hAnsi="Times New Roman"/>
          <w:sz w:val="24"/>
        </w:rPr>
        <w:t>Turbopark (residual value policy)</w:t>
      </w:r>
    </w:p>
    <w:p>
      <w:pPr>
        <w:pStyle w:val="Normal"/>
        <w:keepNext w:val="true"/>
        <w:keepLines/>
        <w:ind w:firstLine="360" w:end="0"/>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LNG</w:t>
      </w:r>
    </w:p>
    <w:p>
      <w:pPr>
        <w:pStyle w:val="Normal"/>
        <w:numPr>
          <w:ilvl w:val="0"/>
          <w:numId w:val="3"/>
        </w:numPr>
        <w:tabs>
          <w:tab w:val="clear" w:pos="720"/>
          <w:tab w:val="left" w:pos="360" w:leader="none"/>
        </w:tabs>
        <w:ind w:hanging="0" w:start="360" w:end="0"/>
        <w:jc w:val="both"/>
        <w:rPr>
          <w:rFonts w:ascii="Times New Roman" w:hAnsi="Times New Roman" w:cs="Times New Roman"/>
          <w:sz w:val="24"/>
        </w:rPr>
      </w:pPr>
      <w:r>
        <w:rPr>
          <w:rFonts w:cs="Times New Roman" w:ascii="Times New Roman" w:hAnsi="Times New Roman"/>
          <w:sz w:val="24"/>
        </w:rPr>
        <w:t>Jose [Venezuela] LNG Export Facility (Ned Crady/Nancy Corbet)</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LNG Sale to El Paso Marketing [Elba Island, Georgia Receiving Terminal] (Nancy Corbet)</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EcoElectrica [Puerto Rico] LNG Receiving &amp; Regasification Terminal/Power Plant (Coralina Rivera)</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EcoElectrica [Puerto Rico] LNG Receiving Terminal Expansion/Gas Distribution (Coralina Rivera)</w:t>
      </w:r>
    </w:p>
    <w:p>
      <w:pPr>
        <w:pStyle w:val="Normal"/>
        <w:numPr>
          <w:ilvl w:val="0"/>
          <w:numId w:val="3"/>
        </w:numPr>
        <w:tabs>
          <w:tab w:val="clear" w:pos="720"/>
          <w:tab w:val="left" w:pos="360" w:leader="none"/>
        </w:tabs>
        <w:ind w:hanging="0" w:start="360" w:end="0"/>
        <w:jc w:val="both"/>
        <w:rPr>
          <w:rFonts w:ascii="Times New Roman" w:hAnsi="Times New Roman" w:cs="Times New Roman"/>
          <w:sz w:val="24"/>
        </w:rPr>
      </w:pPr>
      <w:r>
        <w:rPr>
          <w:rFonts w:cs="Times New Roman" w:ascii="Times New Roman" w:hAnsi="Times New Roman"/>
          <w:sz w:val="24"/>
        </w:rPr>
        <w:t>Bahamas LNG Receiving Terminal/Export Pipeline (Ned Crady)</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South Florida [Tampa] LNG Receiving Terminal (Ned Crady)</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Dominican Republic LNG Receiving Terminal/Power Plant (Coralina Rivera)</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MetGas/Enron Energy Marketing [Dabhol, India] LNG Fuel Supply &amp; Fuel Management (Dan Rogers/Nancy Corbet)</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Dabhol IPP Phase II LNG Fuel Supply &amp; Fuel Management (Dan Rogers)</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Australia LNG Fuel Origination/Merchant Trading (Nancy Corbet)</w:t>
      </w:r>
    </w:p>
    <w:p>
      <w:pPr>
        <w:pStyle w:val="Normal"/>
        <w:numPr>
          <w:ilvl w:val="0"/>
          <w:numId w:val="3"/>
        </w:numPr>
        <w:ind w:hanging="0" w:start="360" w:end="0"/>
        <w:jc w:val="both"/>
        <w:rPr>
          <w:rFonts w:ascii="Times New Roman" w:hAnsi="Times New Roman" w:cs="Times New Roman"/>
          <w:sz w:val="24"/>
        </w:rPr>
      </w:pPr>
      <w:r>
        <w:rPr>
          <w:rFonts w:cs="Times New Roman" w:ascii="Times New Roman" w:hAnsi="Times New Roman"/>
          <w:sz w:val="24"/>
        </w:rPr>
        <w:t>Japan LNG Receiving Terminal (Nancy Corbet)</w:t>
      </w:r>
    </w:p>
    <w:p>
      <w:pPr>
        <w:pStyle w:val="Normal"/>
        <w:numPr>
          <w:ilvl w:val="0"/>
          <w:numId w:val="3"/>
        </w:numPr>
        <w:tabs>
          <w:tab w:val="clear" w:pos="720"/>
          <w:tab w:val="left" w:pos="270" w:leader="none"/>
        </w:tabs>
        <w:ind w:hanging="360" w:start="720" w:end="0"/>
        <w:jc w:val="both"/>
        <w:rPr>
          <w:rFonts w:ascii="Times New Roman" w:hAnsi="Times New Roman" w:cs="Times New Roman"/>
          <w:sz w:val="24"/>
        </w:rPr>
      </w:pPr>
      <w:r>
        <w:rPr>
          <w:rFonts w:cs="Times New Roman" w:ascii="Times New Roman" w:hAnsi="Times New Roman"/>
          <w:sz w:val="24"/>
        </w:rPr>
        <w:t>AdGas [Abu Dhabi] Mid-Term LNG Fuel Origination/Merchant Trading (Dan Rogers)</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Spot LNG Fuel Origination/Merchant Trading (Dan Rogers)</w:t>
      </w:r>
    </w:p>
    <w:p>
      <w:pPr>
        <w:pStyle w:val="Normal"/>
        <w:numPr>
          <w:ilvl w:val="0"/>
          <w:numId w:val="3"/>
        </w:numPr>
        <w:ind w:hanging="360" w:start="720" w:end="0"/>
        <w:jc w:val="both"/>
        <w:rPr>
          <w:rFonts w:ascii="Times New Roman" w:hAnsi="Times New Roman" w:cs="Times New Roman"/>
          <w:sz w:val="24"/>
        </w:rPr>
      </w:pPr>
      <w:r>
        <w:rPr>
          <w:rFonts w:cs="Times New Roman" w:ascii="Times New Roman" w:hAnsi="Times New Roman"/>
          <w:sz w:val="24"/>
        </w:rPr>
        <w:t>Tokyo Gas Master LNG Backhaul Capacity Transportation Agreement (Dan Rogers/Nancy Corbet)</w:t>
      </w:r>
    </w:p>
    <w:p>
      <w:pPr>
        <w:pStyle w:val="Normal"/>
        <w:numPr>
          <w:ilvl w:val="0"/>
          <w:numId w:val="3"/>
        </w:numPr>
        <w:ind w:hanging="360" w:start="720" w:end="0"/>
        <w:jc w:val="both"/>
        <w:rPr>
          <w:rFonts w:ascii="Times New Roman" w:hAnsi="Times New Roman" w:cs="Times New Roman"/>
          <w:sz w:val="24"/>
        </w:rPr>
      </w:pPr>
      <w:r>
        <w:rPr>
          <w:rFonts w:cs="Times New Roman" w:ascii="Times New Roman" w:hAnsi="Times New Roman"/>
          <w:sz w:val="24"/>
        </w:rPr>
        <w:t>AdGas [Abu Dhabi] Master LNG Backhaul Capacity Transportation Agreement (Dan Rogers)</w:t>
      </w:r>
    </w:p>
    <w:p>
      <w:pPr>
        <w:pStyle w:val="Normal"/>
        <w:numPr>
          <w:ilvl w:val="0"/>
          <w:numId w:val="3"/>
        </w:numPr>
        <w:ind w:hanging="360" w:start="720" w:end="0"/>
        <w:jc w:val="both"/>
        <w:rPr>
          <w:rFonts w:ascii="Times New Roman" w:hAnsi="Times New Roman" w:cs="Times New Roman"/>
          <w:sz w:val="24"/>
        </w:rPr>
      </w:pPr>
      <w:r>
        <w:rPr>
          <w:rFonts w:cs="Times New Roman" w:ascii="Times New Roman" w:hAnsi="Times New Roman"/>
          <w:sz w:val="24"/>
        </w:rPr>
        <w:t>Domestic [US] LNG Import Matters (Dan Rogers/Nancy Corbet)</w:t>
      </w:r>
    </w:p>
    <w:p>
      <w:pPr>
        <w:pStyle w:val="Normal"/>
        <w:numPr>
          <w:ilvl w:val="0"/>
          <w:numId w:val="3"/>
        </w:numPr>
        <w:ind w:hanging="360" w:start="720" w:end="0"/>
        <w:jc w:val="both"/>
        <w:rPr>
          <w:rFonts w:ascii="Times New Roman" w:hAnsi="Times New Roman" w:cs="Times New Roman"/>
          <w:sz w:val="24"/>
        </w:rPr>
      </w:pPr>
      <w:r>
        <w:rPr>
          <w:rFonts w:cs="Times New Roman" w:ascii="Times New Roman" w:hAnsi="Times New Roman"/>
          <w:sz w:val="24"/>
        </w:rPr>
        <w:t>Nigeria LNG Master Spot LNG Sale &amp; Purchase Agreement (Nancy Corbet)</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Malaysia LNG Master Spot LNG Sale &amp; Purchase Agreement (Nancy Corbet)</w:t>
      </w:r>
    </w:p>
    <w:p>
      <w:pPr>
        <w:pStyle w:val="Normal"/>
        <w:numPr>
          <w:ilvl w:val="0"/>
          <w:numId w:val="3"/>
        </w:numPr>
        <w:tabs>
          <w:tab w:val="clear" w:pos="720"/>
          <w:tab w:val="left" w:pos="360" w:leader="none"/>
        </w:tabs>
        <w:ind w:hanging="360" w:start="720" w:end="0"/>
        <w:jc w:val="both"/>
        <w:rPr>
          <w:rFonts w:ascii="Times New Roman" w:hAnsi="Times New Roman" w:cs="Times New Roman"/>
          <w:sz w:val="24"/>
        </w:rPr>
      </w:pPr>
      <w:r>
        <w:rPr>
          <w:rFonts w:cs="Times New Roman" w:ascii="Times New Roman" w:hAnsi="Times New Roman"/>
          <w:sz w:val="24"/>
        </w:rPr>
        <w:t>Enron LNG Information Exchange (Dan Rogers/Nancy Corbet)</w:t>
      </w:r>
    </w:p>
    <w:p>
      <w:pPr>
        <w:pStyle w:val="Normal"/>
        <w:ind w:hanging="360" w:end="0"/>
        <w:jc w:val="both"/>
        <w:rPr>
          <w:rFonts w:ascii="Times New Roman" w:hAnsi="Times New Roman" w:cs="Times New Roman"/>
          <w:sz w:val="24"/>
        </w:rPr>
      </w:pPr>
      <w:r>
        <w:rPr>
          <w:rFonts w:cs="Times New Roman" w:ascii="Times New Roman" w:hAnsi="Times New Roman"/>
          <w:sz w:val="24"/>
        </w:rPr>
        <w:t xml:space="preserve"> </w:t>
      </w:r>
    </w:p>
    <w:p>
      <w:pPr>
        <w:pStyle w:val="Heading2"/>
        <w:rPr>
          <w:sz w:val="24"/>
        </w:rPr>
      </w:pPr>
      <w:r>
        <w:rPr>
          <w:sz w:val="24"/>
        </w:rPr>
        <w:t>Middle East</w:t>
      </w:r>
    </w:p>
    <w:p>
      <w:pPr>
        <w:pStyle w:val="Normal"/>
        <w:numPr>
          <w:ilvl w:val="0"/>
          <w:numId w:val="14"/>
        </w:numPr>
        <w:tabs>
          <w:tab w:val="clear" w:pos="720"/>
          <w:tab w:val="left" w:pos="360" w:leader="none"/>
        </w:tabs>
        <w:ind w:hanging="0" w:start="360" w:end="0"/>
        <w:jc w:val="both"/>
        <w:rPr>
          <w:rFonts w:ascii="Times New Roman" w:hAnsi="Times New Roman" w:cs="Times New Roman"/>
          <w:sz w:val="24"/>
        </w:rPr>
      </w:pPr>
      <w:r>
        <w:rPr>
          <w:rFonts w:cs="Times New Roman" w:ascii="Times New Roman" w:hAnsi="Times New Roman"/>
          <w:sz w:val="24"/>
        </w:rPr>
        <w:t>Project Dolphin [Qatar-UAE-Oman] (Dan Rogers/Johan Gerrese)</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Project Atlantis [UAE] (Todd Culwell/Johan Gerrese)</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Saudi Arabia Gas Development (Dan Rogers)</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Oman Gas Distribution (Johan Gerrese/Todd Culwell)</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Egypt-Jordan Gas Pipeline (Johan Gerrese)</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Gaza [Palestine] 140 MW IPP Sell-Down (Dan Rogers/Todd Culwell)</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Tabreed District Cooling [UAE] (Johan Gerrese)</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Sadaf 340 MW IPP [Saudi Arabia] (Johan Gerrese/Todd Culwell)</w:t>
      </w:r>
    </w:p>
    <w:p>
      <w:pPr>
        <w:pStyle w:val="Normal"/>
        <w:numPr>
          <w:ilvl w:val="0"/>
          <w:numId w:val="14"/>
        </w:numPr>
        <w:ind w:hanging="360" w:start="720" w:end="0"/>
        <w:jc w:val="both"/>
        <w:rPr>
          <w:rFonts w:ascii="Times New Roman" w:hAnsi="Times New Roman" w:cs="Times New Roman"/>
          <w:sz w:val="24"/>
        </w:rPr>
      </w:pPr>
      <w:r>
        <w:rPr>
          <w:rFonts w:cs="Times New Roman" w:ascii="Times New Roman" w:hAnsi="Times New Roman"/>
          <w:sz w:val="24"/>
        </w:rPr>
        <w:t>Syria Power Trading (Johan Gerrese)</w:t>
      </w:r>
    </w:p>
    <w:p>
      <w:pPr>
        <w:pStyle w:val="EndnoteText"/>
        <w:rPr>
          <w:rFonts w:ascii="Times New Roman" w:hAnsi="Times New Roman" w:cs="Times New Roman"/>
          <w:sz w:val="24"/>
        </w:rPr>
      </w:pPr>
      <w:r>
        <w:rPr>
          <w:rFonts w:cs="Times New Roman" w:ascii="Times New Roman" w:hAnsi="Times New Roman"/>
          <w:sz w:val="24"/>
        </w:rPr>
      </w:r>
    </w:p>
    <w:p>
      <w:pPr>
        <w:pStyle w:val="EndnoteText"/>
        <w:rPr>
          <w:rFonts w:ascii="Times New Roman" w:hAnsi="Times New Roman" w:cs="Times New Roman"/>
          <w:sz w:val="24"/>
        </w:rPr>
      </w:pPr>
      <w:r>
        <w:rPr>
          <w:rFonts w:cs="Times New Roman" w:ascii="Times New Roman" w:hAnsi="Times New Roman"/>
          <w:sz w:val="24"/>
        </w:rPr>
      </w:r>
    </w:p>
    <w:p>
      <w:pPr>
        <w:pStyle w:val="EndnoteText"/>
        <w:rPr>
          <w:rFonts w:ascii="Times New Roman" w:hAnsi="Times New Roman" w:cs="Times New Roman"/>
          <w:b/>
          <w:bCs/>
          <w:sz w:val="24"/>
          <w:u w:val="single"/>
        </w:rPr>
      </w:pPr>
      <w:r>
        <w:rPr>
          <w:rFonts w:cs="Times New Roman" w:ascii="Times New Roman" w:hAnsi="Times New Roman"/>
          <w:b/>
          <w:bCs/>
          <w:sz w:val="24"/>
          <w:u w:val="single"/>
        </w:rPr>
        <w:t>Enron Net Works LLC</w:t>
      </w:r>
    </w:p>
    <w:p>
      <w:pPr>
        <w:pStyle w:val="Normal"/>
        <w:jc w:val="center"/>
        <w:rPr>
          <w:rFonts w:ascii="Times New Roman" w:hAnsi="Times New Roman" w:cs="Times New Roman"/>
          <w:b/>
          <w:bCs/>
          <w:sz w:val="24"/>
          <w:u w:val="single"/>
        </w:rPr>
      </w:pPr>
      <w:r>
        <w:rPr>
          <w:rFonts w:cs="Times New Roman" w:ascii="Times New Roman" w:hAnsi="Times New Roman"/>
          <w:b/>
          <w:bCs/>
          <w:sz w:val="24"/>
          <w:u w:val="single"/>
        </w:rPr>
      </w:r>
    </w:p>
    <w:p>
      <w:pPr>
        <w:pStyle w:val="Header"/>
        <w:tabs>
          <w:tab w:val="clear" w:pos="4320"/>
          <w:tab w:val="clear" w:pos="8640"/>
        </w:tabs>
        <w:rPr/>
      </w:pPr>
      <w:r>
        <w:rPr>
          <w:rFonts w:cs="Times New Roman" w:ascii="Times New Roman" w:hAnsi="Times New Roman"/>
          <w:b/>
          <w:bCs/>
          <w:sz w:val="24"/>
          <w:u w:val="single"/>
        </w:rPr>
        <w:t xml:space="preserve">EnronOnline </w:t>
      </w:r>
      <w:r>
        <w:rPr>
          <w:rFonts w:cs="Times New Roman" w:ascii="Times New Roman" w:hAnsi="Times New Roman"/>
          <w:sz w:val="24"/>
        </w:rPr>
        <w:t>(Mark Taylor, Leslie Hansen and Brent Hendry)</w:t>
      </w:r>
    </w:p>
    <w:p>
      <w:pPr>
        <w:pStyle w:val="Normal"/>
        <w:ind w:start="360" w:end="0"/>
        <w:rPr>
          <w:rFonts w:ascii="Times New Roman" w:hAnsi="Times New Roman" w:cs="Times New Roman"/>
          <w:sz w:val="24"/>
        </w:rPr>
      </w:pPr>
      <w:r>
        <w:rPr>
          <w:rFonts w:cs="Times New Roman" w:ascii="Times New Roman" w:hAnsi="Times New Roman"/>
          <w:sz w:val="24"/>
        </w:rPr>
        <w:t>1.</w:t>
        <w:tab/>
        <w:t>Phase II (content)</w:t>
      </w:r>
    </w:p>
    <w:p>
      <w:pPr>
        <w:pStyle w:val="Normal"/>
        <w:ind w:start="360" w:end="0"/>
        <w:rPr>
          <w:rFonts w:ascii="Times New Roman" w:hAnsi="Times New Roman" w:cs="Times New Roman"/>
          <w:sz w:val="24"/>
        </w:rPr>
      </w:pPr>
      <w:r>
        <w:rPr>
          <w:rFonts w:cs="Times New Roman" w:ascii="Times New Roman" w:hAnsi="Times New Roman"/>
          <w:sz w:val="24"/>
        </w:rPr>
        <w:t>2.</w:t>
        <w:tab/>
        <w:t>Fantasy Sports games</w:t>
      </w:r>
    </w:p>
    <w:p>
      <w:pPr>
        <w:pStyle w:val="Normal"/>
        <w:ind w:start="360" w:end="0"/>
        <w:rPr>
          <w:rFonts w:ascii="Times New Roman" w:hAnsi="Times New Roman" w:cs="Times New Roman"/>
          <w:sz w:val="24"/>
        </w:rPr>
      </w:pPr>
      <w:r>
        <w:rPr>
          <w:rFonts w:cs="Times New Roman" w:ascii="Times New Roman" w:hAnsi="Times New Roman"/>
          <w:sz w:val="24"/>
        </w:rPr>
        <w:t>3.</w:t>
        <w:tab/>
        <w:t>Broker and press access to system</w:t>
      </w:r>
    </w:p>
    <w:p>
      <w:pPr>
        <w:pStyle w:val="Normal"/>
        <w:ind w:start="360" w:end="0"/>
        <w:rPr>
          <w:rFonts w:ascii="Times New Roman" w:hAnsi="Times New Roman" w:cs="Times New Roman"/>
          <w:sz w:val="24"/>
        </w:rPr>
      </w:pPr>
      <w:r>
        <w:rPr>
          <w:rFonts w:cs="Times New Roman" w:ascii="Times New Roman" w:hAnsi="Times New Roman"/>
          <w:sz w:val="24"/>
        </w:rPr>
        <w:t>4.</w:t>
        <w:tab/>
        <w:t>Limit order functionality</w:t>
      </w:r>
    </w:p>
    <w:p>
      <w:pPr>
        <w:pStyle w:val="Normal"/>
        <w:ind w:start="360" w:end="0"/>
        <w:rPr>
          <w:rFonts w:ascii="Times New Roman" w:hAnsi="Times New Roman" w:cs="Times New Roman"/>
          <w:sz w:val="24"/>
        </w:rPr>
      </w:pPr>
      <w:r>
        <w:rPr>
          <w:rFonts w:cs="Times New Roman" w:ascii="Times New Roman" w:hAnsi="Times New Roman"/>
          <w:sz w:val="24"/>
        </w:rPr>
        <w:t>5.</w:t>
        <w:tab/>
        <w:t>Chile, Peru, Colombia, Bermuda, Argentina, Chile</w:t>
      </w:r>
    </w:p>
    <w:p>
      <w:pPr>
        <w:pStyle w:val="Normal"/>
        <w:ind w:start="360" w:end="0"/>
        <w:rPr>
          <w:rFonts w:ascii="Times New Roman" w:hAnsi="Times New Roman" w:cs="Times New Roman"/>
          <w:sz w:val="24"/>
        </w:rPr>
      </w:pPr>
      <w:r>
        <w:rPr>
          <w:rFonts w:cs="Times New Roman" w:ascii="Times New Roman" w:hAnsi="Times New Roman"/>
          <w:sz w:val="24"/>
        </w:rPr>
        <w:t>6.</w:t>
        <w:tab/>
        <w:t>SFA issues (U.K.)</w:t>
      </w:r>
    </w:p>
    <w:p>
      <w:pPr>
        <w:pStyle w:val="Normal"/>
        <w:ind w:start="360" w:end="0"/>
        <w:rPr>
          <w:rFonts w:ascii="Times New Roman" w:hAnsi="Times New Roman" w:cs="Times New Roman"/>
          <w:sz w:val="24"/>
        </w:rPr>
      </w:pPr>
      <w:r>
        <w:rPr>
          <w:rFonts w:cs="Times New Roman" w:ascii="Times New Roman" w:hAnsi="Times New Roman"/>
          <w:sz w:val="24"/>
        </w:rPr>
        <w:t>7.</w:t>
        <w:tab/>
        <w:t>CFTC no action letter</w:t>
      </w:r>
    </w:p>
    <w:p>
      <w:pPr>
        <w:pStyle w:val="Normal"/>
        <w:numPr>
          <w:ilvl w:val="0"/>
          <w:numId w:val="7"/>
        </w:numPr>
        <w:rPr>
          <w:rFonts w:ascii="Times New Roman" w:hAnsi="Times New Roman" w:cs="Times New Roman"/>
          <w:sz w:val="24"/>
        </w:rPr>
      </w:pPr>
      <w:r>
        <w:rPr>
          <w:rFonts w:cs="Times New Roman" w:ascii="Times New Roman" w:hAnsi="Times New Roman"/>
          <w:sz w:val="24"/>
        </w:rPr>
        <w:t xml:space="preserve">Direct connection through EBS  </w:t>
      </w:r>
    </w:p>
    <w:p>
      <w:pPr>
        <w:pStyle w:val="Normal"/>
        <w:numPr>
          <w:ilvl w:val="0"/>
          <w:numId w:val="7"/>
        </w:numPr>
        <w:rPr>
          <w:rFonts w:ascii="Times New Roman" w:hAnsi="Times New Roman" w:cs="Times New Roman"/>
          <w:sz w:val="24"/>
        </w:rPr>
      </w:pPr>
      <w:r>
        <w:rPr>
          <w:rFonts w:cs="Times New Roman" w:ascii="Times New Roman" w:hAnsi="Times New Roman"/>
          <w:sz w:val="24"/>
        </w:rPr>
        <w:t>Personal data protection issues</w:t>
      </w:r>
    </w:p>
    <w:p>
      <w:pPr>
        <w:pStyle w:val="Normal"/>
        <w:numPr>
          <w:ilvl w:val="0"/>
          <w:numId w:val="7"/>
        </w:numPr>
        <w:rPr>
          <w:rFonts w:ascii="Times New Roman" w:hAnsi="Times New Roman" w:cs="Times New Roman"/>
          <w:sz w:val="24"/>
        </w:rPr>
      </w:pPr>
      <w:r>
        <w:rPr>
          <w:rFonts w:cs="Times New Roman" w:ascii="Times New Roman" w:hAnsi="Times New Roman"/>
          <w:sz w:val="24"/>
        </w:rPr>
        <w:t>New product issues (legal review for existing jurisdictions)</w:t>
      </w:r>
    </w:p>
    <w:p>
      <w:pPr>
        <w:pStyle w:val="Normal"/>
        <w:numPr>
          <w:ilvl w:val="0"/>
          <w:numId w:val="7"/>
        </w:numPr>
        <w:rPr>
          <w:rFonts w:ascii="Times New Roman" w:hAnsi="Times New Roman" w:cs="Times New Roman"/>
          <w:sz w:val="24"/>
        </w:rPr>
      </w:pPr>
      <w:r>
        <w:rPr>
          <w:rFonts w:cs="Times New Roman" w:ascii="Times New Roman" w:hAnsi="Times New Roman"/>
          <w:sz w:val="24"/>
        </w:rPr>
        <w:t>Confirmation issues</w:t>
      </w:r>
    </w:p>
    <w:p>
      <w:pPr>
        <w:pStyle w:val="Normal"/>
        <w:rPr>
          <w:rFonts w:ascii="Times New Roman" w:hAnsi="Times New Roman" w:cs="Times New Roman"/>
          <w:sz w:val="24"/>
        </w:rPr>
      </w:pPr>
      <w:r>
        <w:rPr>
          <w:rFonts w:cs="Times New Roman" w:ascii="Times New Roman" w:hAnsi="Times New Roman"/>
          <w:sz w:val="24"/>
        </w:rPr>
      </w:r>
    </w:p>
    <w:p>
      <w:pPr>
        <w:pStyle w:val="Heading7"/>
        <w:ind w:hanging="0" w:start="0"/>
        <w:rPr>
          <w:rFonts w:ascii="Times New Roman" w:hAnsi="Times New Roman" w:cs="Times New Roman"/>
          <w:sz w:val="24"/>
        </w:rPr>
      </w:pPr>
      <w:r>
        <w:rPr>
          <w:rFonts w:cs="Times New Roman" w:ascii="Times New Roman" w:hAnsi="Times New Roman"/>
          <w:sz w:val="24"/>
        </w:rPr>
        <w:t>Paper</w:t>
      </w:r>
    </w:p>
    <w:p>
      <w:pPr>
        <w:pStyle w:val="Normal"/>
        <w:ind w:start="360" w:end="0"/>
        <w:rPr>
          <w:rFonts w:ascii="Times New Roman" w:hAnsi="Times New Roman" w:cs="Times New Roman"/>
          <w:sz w:val="24"/>
        </w:rPr>
      </w:pPr>
      <w:r>
        <w:rPr>
          <w:rFonts w:cs="Times New Roman" w:ascii="Times New Roman" w:hAnsi="Times New Roman"/>
          <w:sz w:val="24"/>
        </w:rPr>
        <w:t>1.</w:t>
        <w:tab/>
        <w:t>Clickpaper (Travis McCullough)</w:t>
      </w:r>
    </w:p>
    <w:p>
      <w:pPr>
        <w:pStyle w:val="Normal"/>
        <w:ind w:start="360" w:end="0"/>
        <w:rPr>
          <w:rFonts w:ascii="Times New Roman" w:hAnsi="Times New Roman" w:cs="Times New Roman"/>
          <w:sz w:val="24"/>
        </w:rPr>
      </w:pPr>
      <w:r>
        <w:rPr>
          <w:rFonts w:cs="Times New Roman" w:ascii="Times New Roman" w:hAnsi="Times New Roman"/>
          <w:sz w:val="24"/>
        </w:rPr>
        <w:t>2.</w:t>
        <w:tab/>
        <w:t>M/A Transactions (Peter del Vecchio)</w:t>
      </w:r>
    </w:p>
    <w:p>
      <w:pPr>
        <w:pStyle w:val="Normal"/>
        <w:rPr>
          <w:rFonts w:ascii="Times New Roman" w:hAnsi="Times New Roman" w:cs="Times New Roman"/>
          <w:sz w:val="24"/>
        </w:rPr>
      </w:pPr>
      <w:r>
        <w:rPr>
          <w:rFonts w:cs="Times New Roman" w:ascii="Times New Roman" w:hAnsi="Times New Roman"/>
          <w:sz w:val="24"/>
        </w:rPr>
        <w:t xml:space="preserve">  </w:t>
      </w:r>
    </w:p>
    <w:p>
      <w:pPr>
        <w:pStyle w:val="Heading7"/>
        <w:ind w:hanging="0" w:start="0"/>
        <w:rPr>
          <w:rFonts w:ascii="Times New Roman" w:hAnsi="Times New Roman" w:cs="Times New Roman"/>
          <w:sz w:val="24"/>
        </w:rPr>
      </w:pPr>
      <w:r>
        <w:rPr>
          <w:rFonts w:cs="Times New Roman" w:ascii="Times New Roman" w:hAnsi="Times New Roman"/>
          <w:sz w:val="24"/>
        </w:rPr>
        <w:t>Metals</w:t>
      </w:r>
    </w:p>
    <w:p>
      <w:pPr>
        <w:pStyle w:val="Normal"/>
        <w:ind w:start="360" w:end="0"/>
        <w:rPr>
          <w:rFonts w:ascii="Times New Roman" w:hAnsi="Times New Roman" w:cs="Times New Roman"/>
          <w:sz w:val="24"/>
        </w:rPr>
      </w:pPr>
      <w:r>
        <w:rPr>
          <w:rFonts w:cs="Times New Roman" w:ascii="Times New Roman" w:hAnsi="Times New Roman"/>
          <w:sz w:val="24"/>
        </w:rPr>
        <w:t>1.</w:t>
        <w:tab/>
        <w:t>MG Metals in North America (Alan Aronowitz)</w:t>
      </w:r>
    </w:p>
    <w:p>
      <w:pPr>
        <w:pStyle w:val="Normal"/>
        <w:ind w:start="360" w:end="0"/>
        <w:rPr>
          <w:rFonts w:ascii="Times New Roman" w:hAnsi="Times New Roman" w:cs="Times New Roman"/>
          <w:sz w:val="24"/>
        </w:rPr>
      </w:pPr>
      <w:r>
        <w:rPr>
          <w:rFonts w:cs="Times New Roman" w:ascii="Times New Roman" w:hAnsi="Times New Roman"/>
          <w:sz w:val="24"/>
        </w:rPr>
        <w:t>2.</w:t>
        <w:tab/>
        <w:t>Rudolf Wolff transition issues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u w:val="single"/>
        </w:rPr>
        <w:t>Equity Investments</w:t>
      </w:r>
      <w:r>
        <w:rPr>
          <w:rFonts w:cs="Times New Roman" w:ascii="Times New Roman" w:hAnsi="Times New Roman"/>
          <w:sz w:val="24"/>
        </w:rPr>
        <w:t xml:space="preserve"> (Travis McCullough)</w:t>
      </w:r>
    </w:p>
    <w:p>
      <w:pPr>
        <w:pStyle w:val="Normal"/>
        <w:ind w:start="420" w:end="0"/>
        <w:rPr>
          <w:rFonts w:ascii="Times New Roman" w:hAnsi="Times New Roman" w:cs="Times New Roman"/>
          <w:sz w:val="24"/>
        </w:rPr>
      </w:pPr>
      <w:r>
        <w:rPr>
          <w:rFonts w:cs="Times New Roman" w:ascii="Times New Roman" w:hAnsi="Times New Roman"/>
          <w:sz w:val="24"/>
        </w:rPr>
        <w:t>1.</w:t>
        <w:tab/>
        <w:t>eSpeed</w:t>
      </w:r>
    </w:p>
    <w:p>
      <w:pPr>
        <w:pStyle w:val="Normal"/>
        <w:ind w:start="420" w:end="0"/>
        <w:rPr>
          <w:rFonts w:ascii="Times New Roman" w:hAnsi="Times New Roman" w:cs="Times New Roman"/>
          <w:sz w:val="24"/>
        </w:rPr>
      </w:pPr>
      <w:r>
        <w:rPr>
          <w:rFonts w:cs="Times New Roman" w:ascii="Times New Roman" w:hAnsi="Times New Roman"/>
          <w:sz w:val="24"/>
        </w:rPr>
        <w:t>2.</w:t>
        <w:tab/>
        <w:t>HoustonStreet.com</w:t>
      </w:r>
    </w:p>
    <w:p>
      <w:pPr>
        <w:pStyle w:val="Normal"/>
        <w:ind w:start="420" w:end="0"/>
        <w:rPr>
          <w:rFonts w:ascii="Times New Roman" w:hAnsi="Times New Roman" w:cs="Times New Roman"/>
          <w:sz w:val="24"/>
        </w:rPr>
      </w:pPr>
      <w:r>
        <w:rPr>
          <w:rFonts w:cs="Times New Roman" w:ascii="Times New Roman" w:hAnsi="Times New Roman"/>
          <w:sz w:val="24"/>
        </w:rPr>
        <w:t>3.</w:t>
        <w:tab/>
        <w:t>True Quote (closed)</w:t>
      </w:r>
    </w:p>
    <w:p>
      <w:pPr>
        <w:pStyle w:val="Normal"/>
        <w:ind w:start="420" w:end="0"/>
        <w:rPr>
          <w:rFonts w:ascii="Times New Roman" w:hAnsi="Times New Roman" w:cs="Times New Roman"/>
          <w:sz w:val="24"/>
        </w:rPr>
      </w:pPr>
      <w:r>
        <w:rPr>
          <w:rFonts w:cs="Times New Roman" w:ascii="Times New Roman" w:hAnsi="Times New Roman"/>
          <w:sz w:val="24"/>
        </w:rPr>
        <w:t>4.</w:t>
        <w:tab/>
        <w:t>Intercontinental Exchange</w:t>
      </w:r>
    </w:p>
    <w:p>
      <w:pPr>
        <w:pStyle w:val="Normal"/>
        <w:ind w:start="420" w:end="0"/>
        <w:rPr>
          <w:rFonts w:ascii="Times New Roman" w:hAnsi="Times New Roman" w:cs="Times New Roman"/>
          <w:sz w:val="24"/>
        </w:rPr>
      </w:pPr>
      <w:r>
        <w:rPr>
          <w:rFonts w:cs="Times New Roman" w:ascii="Times New Roman" w:hAnsi="Times New Roman"/>
          <w:sz w:val="24"/>
        </w:rPr>
        <w:t>5.</w:t>
        <w:tab/>
        <w:t>Kiodex</w:t>
      </w:r>
    </w:p>
    <w:p>
      <w:pPr>
        <w:pStyle w:val="Normal"/>
        <w:ind w:start="420" w:end="0"/>
        <w:rPr>
          <w:rFonts w:ascii="Times New Roman" w:hAnsi="Times New Roman" w:cs="Times New Roman"/>
          <w:sz w:val="24"/>
        </w:rPr>
      </w:pPr>
      <w:r>
        <w:rPr>
          <w:rFonts w:cs="Times New Roman" w:ascii="Times New Roman" w:hAnsi="Times New Roman"/>
          <w:sz w:val="24"/>
        </w:rPr>
        <w:t>6.</w:t>
        <w:tab/>
        <w:t>Natsource (brokers)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rPr>
        <w:t>Principal Investments</w:t>
      </w:r>
      <w:r>
        <w:rPr>
          <w:rFonts w:cs="Times New Roman" w:ascii="Times New Roman" w:hAnsi="Times New Roman"/>
          <w:sz w:val="24"/>
        </w:rPr>
        <w:t xml:space="preserve"> (Anne Koehler)</w:t>
      </w:r>
    </w:p>
    <w:p>
      <w:pPr>
        <w:pStyle w:val="Normal"/>
        <w:ind w:start="360" w:end="0"/>
        <w:rPr>
          <w:rFonts w:ascii="Times New Roman" w:hAnsi="Times New Roman" w:cs="Times New Roman"/>
          <w:sz w:val="24"/>
        </w:rPr>
      </w:pPr>
      <w:r>
        <w:rPr>
          <w:rFonts w:cs="Times New Roman" w:ascii="Times New Roman" w:hAnsi="Times New Roman"/>
          <w:sz w:val="24"/>
        </w:rPr>
        <w:t>1.</w:t>
        <w:tab/>
        <w:t>EC Outlook, Inc. (closed)</w:t>
      </w:r>
    </w:p>
    <w:p>
      <w:pPr>
        <w:pStyle w:val="Normal"/>
        <w:ind w:start="360" w:end="0"/>
        <w:rPr>
          <w:rFonts w:ascii="Times New Roman" w:hAnsi="Times New Roman" w:cs="Times New Roman"/>
          <w:sz w:val="24"/>
        </w:rPr>
      </w:pPr>
      <w:r>
        <w:rPr>
          <w:rFonts w:cs="Times New Roman" w:ascii="Times New Roman" w:hAnsi="Times New Roman"/>
          <w:sz w:val="24"/>
        </w:rPr>
        <w:t>2.   Pentasafe, Inc. (closed)</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u w:val="single"/>
        </w:rPr>
        <w:t>Commodity Logic</w:t>
      </w:r>
      <w:r>
        <w:rPr>
          <w:rFonts w:cs="Times New Roman" w:ascii="Times New Roman" w:hAnsi="Times New Roman"/>
          <w:sz w:val="24"/>
        </w:rPr>
        <w:t xml:space="preserve"> (Alan Aronowitz)</w:t>
      </w:r>
    </w:p>
    <w:p>
      <w:pPr>
        <w:pStyle w:val="Normal"/>
        <w:ind w:firstLine="360" w:end="0"/>
        <w:rPr>
          <w:rFonts w:ascii="Times New Roman" w:hAnsi="Times New Roman" w:cs="Times New Roman"/>
          <w:sz w:val="24"/>
        </w:rPr>
      </w:pPr>
      <w:r>
        <w:rPr>
          <w:rFonts w:cs="Times New Roman" w:ascii="Times New Roman" w:hAnsi="Times New Roman"/>
          <w:sz w:val="24"/>
        </w:rPr>
        <w:t>1.</w:t>
        <w:tab/>
        <w:t>Launch of module 1 (CFO page)</w:t>
      </w:r>
    </w:p>
    <w:p>
      <w:pPr>
        <w:pStyle w:val="Normal"/>
        <w:ind w:firstLine="360" w:end="0"/>
        <w:rPr>
          <w:rFonts w:ascii="Times New Roman" w:hAnsi="Times New Roman" w:cs="Times New Roman"/>
          <w:sz w:val="24"/>
        </w:rPr>
      </w:pPr>
      <w:r>
        <w:rPr>
          <w:rFonts w:cs="Times New Roman" w:ascii="Times New Roman" w:hAnsi="Times New Roman"/>
          <w:sz w:val="24"/>
        </w:rPr>
        <w:t>2.</w:t>
        <w:tab/>
        <w:t>Trademark registration of logo</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u w:val="single"/>
        </w:rPr>
        <w:t>Finance</w:t>
      </w:r>
      <w:r>
        <w:rPr>
          <w:rFonts w:cs="Times New Roman" w:ascii="Times New Roman" w:hAnsi="Times New Roman"/>
          <w:sz w:val="24"/>
        </w:rPr>
        <w:t xml:space="preserve"> (Global Finance Group)</w:t>
      </w:r>
    </w:p>
    <w:p>
      <w:pPr>
        <w:pStyle w:val="Normal"/>
        <w:numPr>
          <w:ilvl w:val="0"/>
          <w:numId w:val="5"/>
        </w:numPr>
        <w:rPr>
          <w:rFonts w:ascii="Times New Roman" w:hAnsi="Times New Roman" w:cs="Times New Roman"/>
          <w:sz w:val="24"/>
        </w:rPr>
      </w:pPr>
      <w:r>
        <w:rPr>
          <w:rFonts w:cs="Times New Roman" w:ascii="Times New Roman" w:hAnsi="Times New Roman"/>
          <w:sz w:val="24"/>
        </w:rPr>
        <w:t>Enron Net Works Partners</w:t>
      </w:r>
    </w:p>
    <w:p>
      <w:pPr>
        <w:pStyle w:val="Normal"/>
        <w:numPr>
          <w:ilvl w:val="0"/>
          <w:numId w:val="5"/>
        </w:numPr>
        <w:rPr>
          <w:rFonts w:ascii="Times New Roman" w:hAnsi="Times New Roman" w:cs="Times New Roman"/>
          <w:sz w:val="24"/>
        </w:rPr>
      </w:pPr>
      <w:r>
        <w:rPr>
          <w:rFonts w:cs="Times New Roman" w:ascii="Times New Roman" w:hAnsi="Times New Roman"/>
          <w:sz w:val="24"/>
        </w:rPr>
        <w:t>EnronDirectFinance.com</w:t>
      </w:r>
    </w:p>
    <w:p>
      <w:pPr>
        <w:pStyle w:val="Normal"/>
        <w:rPr>
          <w:rFonts w:ascii="Times New Roman" w:hAnsi="Times New Roman" w:cs="Times New Roman"/>
          <w:sz w:val="24"/>
        </w:rPr>
      </w:pPr>
      <w:r>
        <w:rPr>
          <w:rFonts w:cs="Times New Roman" w:ascii="Times New Roman" w:hAnsi="Times New Roman"/>
          <w:sz w:val="24"/>
        </w:rPr>
      </w:r>
    </w:p>
    <w:p>
      <w:pPr>
        <w:pStyle w:val="Heading7"/>
        <w:ind w:hanging="0" w:start="0"/>
        <w:rPr>
          <w:rFonts w:ascii="Times New Roman" w:hAnsi="Times New Roman" w:cs="Times New Roman"/>
          <w:sz w:val="24"/>
        </w:rPr>
      </w:pPr>
      <w:r>
        <w:rPr>
          <w:rFonts w:cs="Times New Roman" w:ascii="Times New Roman" w:hAnsi="Times New Roman"/>
          <w:sz w:val="24"/>
        </w:rPr>
        <w:t>Miscellaneous</w:t>
      </w:r>
    </w:p>
    <w:p>
      <w:pPr>
        <w:pStyle w:val="Normal"/>
        <w:ind w:start="360" w:end="0"/>
        <w:rPr>
          <w:rFonts w:ascii="Times New Roman" w:hAnsi="Times New Roman" w:cs="Times New Roman"/>
          <w:sz w:val="24"/>
        </w:rPr>
      </w:pPr>
      <w:r>
        <w:rPr>
          <w:rFonts w:cs="Times New Roman" w:ascii="Times New Roman" w:hAnsi="Times New Roman"/>
          <w:sz w:val="24"/>
        </w:rPr>
        <w:t>1.</w:t>
        <w:tab/>
        <w:t>Patents (Mark Haedicke and Travis McCullough)</w:t>
      </w:r>
    </w:p>
    <w:p>
      <w:pPr>
        <w:pStyle w:val="Normal"/>
        <w:ind w:start="360" w:end="0"/>
        <w:rPr>
          <w:rFonts w:ascii="Times New Roman" w:hAnsi="Times New Roman" w:cs="Times New Roman"/>
          <w:sz w:val="24"/>
        </w:rPr>
      </w:pPr>
      <w:r>
        <w:rPr>
          <w:rFonts w:cs="Times New Roman" w:ascii="Times New Roman" w:hAnsi="Times New Roman"/>
          <w:sz w:val="24"/>
        </w:rPr>
        <w:t>2.</w:t>
        <w:tab/>
        <w:t>Non-competition language in IT service agreements</w:t>
      </w:r>
    </w:p>
    <w:p>
      <w:pPr>
        <w:pStyle w:val="Normal"/>
        <w:ind w:start="360" w:end="0"/>
        <w:rPr>
          <w:rFonts w:ascii="Times New Roman" w:hAnsi="Times New Roman" w:cs="Times New Roman"/>
          <w:sz w:val="24"/>
        </w:rPr>
      </w:pPr>
      <w:r>
        <w:rPr>
          <w:rFonts w:cs="Times New Roman" w:ascii="Times New Roman" w:hAnsi="Times New Roman"/>
          <w:sz w:val="24"/>
        </w:rPr>
        <w:t>3.</w:t>
        <w:tab/>
        <w:t>Anti-trust issues</w:t>
      </w:r>
    </w:p>
    <w:p>
      <w:pPr>
        <w:pStyle w:val="Normal"/>
        <w:ind w:start="360" w:end="0"/>
        <w:rPr>
          <w:rFonts w:ascii="Times New Roman" w:hAnsi="Times New Roman" w:cs="Times New Roman"/>
          <w:sz w:val="24"/>
        </w:rPr>
      </w:pPr>
      <w:r>
        <w:rPr>
          <w:rFonts w:cs="Times New Roman" w:ascii="Times New Roman" w:hAnsi="Times New Roman"/>
          <w:sz w:val="24"/>
        </w:rPr>
        <w:t>4.</w:t>
        <w:tab/>
        <w:t>CFTC issues</w:t>
      </w:r>
    </w:p>
    <w:p>
      <w:pPr>
        <w:pStyle w:val="Normal"/>
        <w:ind w:start="360" w:end="0"/>
        <w:rPr>
          <w:rFonts w:ascii="Times New Roman" w:hAnsi="Times New Roman" w:cs="Times New Roman"/>
          <w:sz w:val="24"/>
        </w:rPr>
      </w:pPr>
      <w:r>
        <w:rPr>
          <w:rFonts w:cs="Times New Roman" w:ascii="Times New Roman" w:hAnsi="Times New Roman"/>
          <w:sz w:val="24"/>
        </w:rPr>
        <w:t>5.</w:t>
        <w:tab/>
        <w:t>Electronic Signature Law</w:t>
      </w:r>
    </w:p>
    <w:p>
      <w:pPr>
        <w:pStyle w:val="Normal"/>
        <w:ind w:start="360" w:end="0"/>
        <w:rPr>
          <w:rFonts w:ascii="Times New Roman" w:hAnsi="Times New Roman" w:cs="Times New Roman"/>
          <w:sz w:val="24"/>
        </w:rPr>
      </w:pPr>
      <w:r>
        <w:rPr>
          <w:rFonts w:cs="Times New Roman" w:ascii="Times New Roman" w:hAnsi="Times New Roman"/>
          <w:sz w:val="24"/>
        </w:rPr>
        <w:t>6.</w:t>
        <w:tab/>
        <w:t>Domain name infringement – EnronMetals.com (Justin Boyd, Mark Taylor)</w:t>
      </w:r>
    </w:p>
    <w:p>
      <w:pPr>
        <w:pStyle w:val="Normal"/>
        <w:ind w:start="360" w:end="0"/>
        <w:rPr>
          <w:rFonts w:ascii="Times New Roman" w:hAnsi="Times New Roman" w:cs="Times New Roman"/>
          <w:sz w:val="24"/>
        </w:rPr>
      </w:pPr>
      <w:r>
        <w:rPr>
          <w:rFonts w:cs="Times New Roman" w:ascii="Times New Roman" w:hAnsi="Times New Roman"/>
          <w:sz w:val="24"/>
        </w:rPr>
        <w:t>7.</w:t>
        <w:tab/>
        <w:t>EThink issues</w:t>
      </w:r>
    </w:p>
    <w:p>
      <w:pPr>
        <w:pStyle w:val="Normal"/>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344" w:leader="none"/>
          <w:tab w:val="left" w:pos="5106" w:leader="none"/>
          <w:tab w:val="left" w:pos="7254" w:leader="none"/>
        </w:tabs>
        <w:spacing w:before="240" w:after="0"/>
        <w:jc w:val="both"/>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0">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bullet"/>
      <w:lvlText w:val=""/>
      <w:lvlJc w:val="start"/>
      <w:pPr>
        <w:tabs>
          <w:tab w:val="num" w:pos="360"/>
        </w:tabs>
        <w:ind w:start="108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80"/>
        </w:tabs>
        <w:ind w:start="780" w:hanging="4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decimal"/>
      <w:lvlText w:val="%1."/>
      <w:lvlJc w:val="start"/>
      <w:pPr>
        <w:tabs>
          <w:tab w:val="num" w:pos="780"/>
        </w:tabs>
        <w:ind w:start="780" w:hanging="420"/>
      </w:pPr>
      <w:rPr/>
    </w:lvl>
  </w:abstractNum>
  <w:abstractNum w:abstractNumId="16">
    <w:lvl w:ilvl="0">
      <w:start w:val="1"/>
      <w:numFmt w:val="decimal"/>
      <w:lvlText w:val="%1."/>
      <w:lvlJc w:val="start"/>
      <w:pPr>
        <w:tabs>
          <w:tab w:val="num" w:pos="720"/>
        </w:tabs>
        <w:ind w:start="720" w:hanging="360"/>
      </w:p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decimal"/>
      <w:lvlText w:val="%1."/>
      <w:lvlJc w:val="start"/>
      <w:pPr>
        <w:tabs>
          <w:tab w:val="num" w:pos="720"/>
        </w:tabs>
        <w:ind w:start="780" w:hanging="360"/>
      </w:pPr>
      <w:rPr/>
    </w:lvl>
    <w:lvl w:ilvl="1">
      <w:start w:val="1"/>
      <w:numFmt w:val="decimal"/>
      <w:lvlText w:val="%2."/>
      <w:lvlJc w:val="start"/>
      <w:pPr>
        <w:tabs>
          <w:tab w:val="num" w:pos="72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1">
    <w:lvl w:ilvl="0">
      <w:start w:val="1"/>
      <w:numFmt w:val="bullet"/>
      <w:lvlText w:val=""/>
      <w:lvlJc w:val="start"/>
      <w:pPr>
        <w:tabs>
          <w:tab w:val="num" w:pos="360"/>
        </w:tabs>
        <w:ind w:start="1080" w:hanging="360"/>
      </w:pPr>
      <w:rPr>
        <w:rFonts w:ascii="Symbol" w:hAnsi="Symbol" w:cs="Symbol" w:hint="default"/>
      </w:rPr>
    </w:lvl>
  </w:abstractNum>
  <w:abstractNum w:abstractNumId="2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widowControl/>
      <w:numPr>
        <w:ilvl w:val="8"/>
        <w:numId w:val="1"/>
      </w:numPr>
      <w:tabs>
        <w:tab w:val="clear" w:pos="720"/>
        <w:tab w:val="left" w:pos="1344" w:leader="none"/>
        <w:tab w:val="left" w:pos="5106" w:leader="none"/>
        <w:tab w:val="left" w:pos="7254" w:leader="none"/>
      </w:tabs>
      <w:outlineLvl w:val="8"/>
    </w:pPr>
    <w:rPr>
      <w:rFonts w:ascii="Times New Roman" w:hAnsi="Times New Roman" w:cs="Times New Roman"/>
      <w:b/>
      <w:bCs/>
      <w:sz w:val="24"/>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9z0">
    <w:name w:val="WW8Num29z0"/>
    <w:qFormat/>
    <w:rPr>
      <w:rFonts w:ascii="Symbol" w:hAnsi="Symbol" w:cs="Symbol"/>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50z0">
    <w:name w:val="WW8Num50z0"/>
    <w:qFormat/>
    <w:rPr/>
  </w:style>
  <w:style w:type="character" w:styleId="WW8Num51z0">
    <w:name w:val="WW8Num51z0"/>
    <w:qFormat/>
    <w:rPr/>
  </w:style>
  <w:style w:type="character" w:styleId="WW8Num57z0">
    <w:name w:val="WW8Num57z0"/>
    <w:qFormat/>
    <w:rPr/>
  </w:style>
  <w:style w:type="character" w:styleId="WW8Num59z0">
    <w:name w:val="WW8Num59z0"/>
    <w:qFormat/>
    <w:rPr/>
  </w:style>
  <w:style w:type="character" w:styleId="WW8Num63z0">
    <w:name w:val="WW8Num63z0"/>
    <w:qFormat/>
    <w:rPr>
      <w:rFonts w:ascii="Tms Rmn;Times New Roman" w:hAnsi="Tms Rmn;Times New Roman" w:cs="Tms Rmn;Times New Roman"/>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2z0">
    <w:name w:val="WW8Num72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3z0">
    <w:name w:val="WW8Num83z0"/>
    <w:qFormat/>
    <w:rPr/>
  </w:style>
  <w:style w:type="character" w:styleId="WW8Num85z0">
    <w:name w:val="WW8Num85z0"/>
    <w:qFormat/>
    <w:rPr/>
  </w:style>
  <w:style w:type="character" w:styleId="WW8Num85z1">
    <w:name w:val="WW8Num85z1"/>
    <w:qFormat/>
    <w:rPr>
      <w:rFonts w:ascii="Times New Roman" w:hAnsi="Times New Roman" w:eastAsia="Times New Roman" w:cs="Times New Roman"/>
    </w:rPr>
  </w:style>
  <w:style w:type="character" w:styleId="WW8Num86z1">
    <w:name w:val="WW8Num86z1"/>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2000-10-26T18:10:00Z</dcterms:created>
  <dc:creator>kyoung</dc:creator>
  <dc:description/>
  <dc:language>en-CA</dc:language>
  <cp:lastModifiedBy>jelbert</cp:lastModifiedBy>
  <cp:lastPrinted>2000-11-09T15:45:00Z</cp:lastPrinted>
  <dcterms:modified xsi:type="dcterms:W3CDTF">2000-11-09T19:32:00Z</dcterms:modified>
  <cp:revision>23</cp:revision>
  <dc:subject/>
  <dc:title>MEMO FORM</dc:title>
</cp:coreProperties>
</file>