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344" w:leader="none"/>
          <w:tab w:val="left" w:pos="5106" w:leader="none"/>
          <w:tab w:val="left" w:pos="7254" w:leader="none"/>
        </w:tabs>
        <w:jc w:val="center"/>
        <w:rPr>
          <w:b/>
        </w:rPr>
      </w:pPr>
      <w:r>
        <w:rPr>
          <w:b/>
        </w:rPr>
        <w:t>Enron Wholesale Services Legal Department</w:t>
      </w:r>
    </w:p>
    <w:p>
      <w:pPr>
        <w:pStyle w:val="Heading3"/>
        <w:ind w:hanging="0" w:start="0"/>
        <w:rPr>
          <w:sz w:val="24"/>
        </w:rPr>
      </w:pPr>
      <w:r>
        <w:rPr>
          <w:sz w:val="24"/>
        </w:rPr>
        <w:t>Monthly Report</w:t>
      </w:r>
    </w:p>
    <w:p>
      <w:pPr>
        <w:pStyle w:val="Heading3"/>
        <w:ind w:hanging="0" w:start="0"/>
        <w:rPr>
          <w:sz w:val="24"/>
        </w:rPr>
      </w:pPr>
      <w:r>
        <w:rPr>
          <w:sz w:val="24"/>
        </w:rPr>
        <w:t>November 2000</w:t>
      </w:r>
    </w:p>
    <w:p>
      <w:pPr>
        <w:pStyle w:val="Normal"/>
        <w:tabs>
          <w:tab w:val="clear" w:pos="720"/>
          <w:tab w:val="left" w:pos="1344" w:leader="none"/>
          <w:tab w:val="left" w:pos="5106" w:leader="none"/>
          <w:tab w:val="left" w:pos="7254" w:leader="none"/>
        </w:tabs>
        <w:jc w:val="center"/>
        <w:rPr>
          <w:sz w:val="24"/>
        </w:rPr>
      </w:pPr>
      <w:r>
        <w:rPr>
          <w:sz w:val="24"/>
        </w:rPr>
      </w:r>
    </w:p>
    <w:p>
      <w:pPr>
        <w:pStyle w:val="Heading3"/>
        <w:ind w:hanging="0" w:start="0"/>
        <w:rPr>
          <w:sz w:val="24"/>
        </w:rPr>
      </w:pPr>
      <w:r>
        <w:rPr>
          <w:sz w:val="24"/>
        </w:rPr>
        <w:t>Significant Transactions/Matters</w:t>
      </w:r>
    </w:p>
    <w:p>
      <w:pPr>
        <w:pStyle w:val="Normal"/>
        <w:tabs>
          <w:tab w:val="clear" w:pos="720"/>
          <w:tab w:val="left" w:pos="1344" w:leader="none"/>
          <w:tab w:val="left" w:pos="5106" w:leader="none"/>
          <w:tab w:val="left" w:pos="7254" w:leader="none"/>
        </w:tabs>
        <w:jc w:val="center"/>
        <w:rPr>
          <w:sz w:val="24"/>
        </w:rPr>
      </w:pPr>
      <w:r>
        <w:rPr>
          <w:sz w:val="24"/>
        </w:rPr>
      </w:r>
    </w:p>
    <w:p>
      <w:pPr>
        <w:pStyle w:val="Normal"/>
        <w:tabs>
          <w:tab w:val="clear" w:pos="720"/>
          <w:tab w:val="left" w:pos="1344" w:leader="none"/>
          <w:tab w:val="left" w:pos="5106" w:leader="none"/>
          <w:tab w:val="left" w:pos="7254" w:leader="none"/>
          <w:tab w:val="left" w:pos="10080" w:leader="none"/>
        </w:tabs>
        <w:ind w:end="-306"/>
        <w:jc w:val="both"/>
        <w:rPr/>
      </w:pPr>
      <w:r>
        <w:rPr/>
        <w:t>This report summarizes current significant legal activities of EWS (other than Enron Europe, which will continue to report separately) as of November 15, 2000.  The report does not attempt to list all transactions or include reference to on-going projects or maintenance of completed transactions.  Additional and more detailed information is available on request.  It is anticipated that, next month, the wholesale activities of South America will be added to this report and that Global Assets will report separately.</w:t>
      </w:r>
    </w:p>
    <w:p>
      <w:pPr>
        <w:pStyle w:val="Heading4"/>
        <w:tabs>
          <w:tab w:val="clear" w:pos="720"/>
          <w:tab w:val="left" w:pos="1344" w:leader="none"/>
          <w:tab w:val="left" w:pos="5106" w:leader="none"/>
          <w:tab w:val="left" w:pos="7254" w:leader="none"/>
        </w:tabs>
        <w:spacing w:before="240" w:after="0"/>
        <w:ind w:hanging="0" w:start="0"/>
        <w:rPr/>
      </w:pPr>
      <w:r>
        <w:rPr/>
        <w:t>TRADING</w:t>
      </w:r>
    </w:p>
    <w:p>
      <w:pPr>
        <w:pStyle w:val="Heading5"/>
        <w:ind w:hanging="0" w:start="0"/>
        <w:rPr/>
      </w:pPr>
      <w:r>
        <w:rPr>
          <w:sz w:val="24"/>
          <w:u w:val="none"/>
        </w:rPr>
        <w:tab/>
      </w:r>
      <w:r>
        <w:rPr>
          <w:sz w:val="24"/>
        </w:rPr>
        <w:t>Houston</w:t>
      </w:r>
    </w:p>
    <w:p>
      <w:pPr>
        <w:pStyle w:val="Normal"/>
        <w:keepNext w:val="true"/>
        <w:keepLines/>
        <w:numPr>
          <w:ilvl w:val="0"/>
          <w:numId w:val="6"/>
        </w:numPr>
        <w:tabs>
          <w:tab w:val="clear" w:pos="720"/>
          <w:tab w:val="left" w:pos="1080" w:leader="none"/>
        </w:tabs>
        <w:spacing w:before="120" w:after="0"/>
        <w:ind w:hanging="0" w:start="720" w:end="0"/>
        <w:jc w:val="both"/>
        <w:rPr/>
      </w:pPr>
      <w:r>
        <w:rPr/>
        <w:t>Power Contract Revision Project</w:t>
      </w:r>
    </w:p>
    <w:p>
      <w:pPr>
        <w:pStyle w:val="Normal"/>
        <w:keepNext w:val="true"/>
        <w:keepLines/>
        <w:tabs>
          <w:tab w:val="clear" w:pos="720"/>
          <w:tab w:val="left" w:pos="1260" w:leader="none"/>
        </w:tabs>
        <w:ind w:start="1080" w:end="0"/>
        <w:jc w:val="both"/>
        <w:rPr/>
      </w:pPr>
      <w:r>
        <w:rPr/>
        <w:t>-</w:t>
        <w:tab/>
        <w:t>Kevin Presto/Elizabeth Sager</w:t>
      </w:r>
    </w:p>
    <w:p>
      <w:pPr>
        <w:pStyle w:val="Normal"/>
        <w:keepNext w:val="true"/>
        <w:keepLines/>
        <w:tabs>
          <w:tab w:val="clear" w:pos="720"/>
          <w:tab w:val="left" w:pos="1260" w:leader="none"/>
        </w:tabs>
        <w:ind w:hanging="1080" w:start="2160" w:end="0"/>
        <w:jc w:val="both"/>
        <w:rPr/>
      </w:pPr>
      <w:r>
        <w:rPr/>
        <w:t>-</w:t>
        <w:tab/>
        <w:t>Update:</w:t>
        <w:tab/>
        <w:t>EPMI is reviewing certain high exposure power contracts for revision and conversion to EEI</w:t>
      </w:r>
    </w:p>
    <w:p>
      <w:pPr>
        <w:pStyle w:val="Normal"/>
        <w:keepNext w:val="true"/>
        <w:keepLines/>
        <w:numPr>
          <w:ilvl w:val="0"/>
          <w:numId w:val="6"/>
        </w:numPr>
        <w:tabs>
          <w:tab w:val="clear" w:pos="720"/>
          <w:tab w:val="left" w:pos="1080" w:leader="none"/>
        </w:tabs>
        <w:spacing w:before="120" w:after="0"/>
        <w:ind w:hanging="0" w:start="720" w:end="0"/>
        <w:jc w:val="both"/>
        <w:rPr/>
      </w:pPr>
      <w:r>
        <w:rPr/>
        <w:t>Gas Contract Revision Project</w:t>
      </w:r>
    </w:p>
    <w:p>
      <w:pPr>
        <w:pStyle w:val="Normal"/>
        <w:keepNext w:val="true"/>
        <w:keepLines/>
        <w:tabs>
          <w:tab w:val="clear" w:pos="720"/>
          <w:tab w:val="left" w:pos="1260" w:leader="none"/>
        </w:tabs>
        <w:ind w:start="1080" w:end="0"/>
        <w:jc w:val="both"/>
        <w:rPr/>
      </w:pPr>
      <w:r>
        <w:rPr/>
        <w:t>-</w:t>
        <w:tab/>
        <w:t xml:space="preserve">Brent Price/Jeff Hodge/Stacy Dickson </w:t>
      </w:r>
    </w:p>
    <w:p>
      <w:pPr>
        <w:pStyle w:val="Normal"/>
        <w:keepNext w:val="true"/>
        <w:keepLines/>
        <w:tabs>
          <w:tab w:val="clear" w:pos="720"/>
          <w:tab w:val="left" w:pos="1260" w:leader="none"/>
          <w:tab w:val="left" w:pos="1440" w:leader="none"/>
        </w:tabs>
        <w:ind w:start="1080" w:end="0"/>
        <w:jc w:val="both"/>
        <w:rPr/>
      </w:pPr>
      <w:r>
        <w:rPr/>
        <w:t>-</w:t>
        <w:tab/>
        <w:t>Update:</w:t>
        <w:tab/>
        <w:t>ENA is reviewing certain high volume trading contracts for possible revision</w:t>
      </w:r>
    </w:p>
    <w:p>
      <w:pPr>
        <w:pStyle w:val="Normal"/>
        <w:keepNext w:val="true"/>
        <w:keepLines/>
        <w:numPr>
          <w:ilvl w:val="0"/>
          <w:numId w:val="6"/>
        </w:numPr>
        <w:tabs>
          <w:tab w:val="clear" w:pos="720"/>
          <w:tab w:val="left" w:pos="1080" w:leader="none"/>
        </w:tabs>
        <w:spacing w:before="120" w:after="0"/>
        <w:ind w:hanging="0" w:start="720" w:end="0"/>
        <w:jc w:val="both"/>
        <w:rPr/>
      </w:pPr>
      <w:r>
        <w:rPr/>
        <w:t>Duke Energy LNG Sales, Inc.</w:t>
      </w:r>
    </w:p>
    <w:p>
      <w:pPr>
        <w:pStyle w:val="Normal"/>
        <w:keepNext w:val="true"/>
        <w:keepLines/>
        <w:tabs>
          <w:tab w:val="clear" w:pos="720"/>
          <w:tab w:val="left" w:pos="1260" w:leader="none"/>
        </w:tabs>
        <w:ind w:start="1080" w:end="0"/>
        <w:jc w:val="both"/>
        <w:rPr/>
      </w:pPr>
      <w:r>
        <w:rPr/>
        <w:t>-</w:t>
        <w:tab/>
        <w:t>Janet Dietrich/Jeff Hodge/Richard Sanders (Susman &amp; Godfrey)</w:t>
      </w:r>
    </w:p>
    <w:p>
      <w:pPr>
        <w:pStyle w:val="Normal"/>
        <w:keepNext w:val="true"/>
        <w:keepLines/>
        <w:tabs>
          <w:tab w:val="clear" w:pos="720"/>
          <w:tab w:val="left" w:pos="1260" w:leader="none"/>
          <w:tab w:val="left" w:pos="1440" w:leader="none"/>
        </w:tabs>
        <w:ind w:start="1080" w:end="0"/>
        <w:jc w:val="both"/>
        <w:rPr/>
      </w:pPr>
      <w:r>
        <w:rPr/>
        <w:t>-</w:t>
        <w:tab/>
        <w:t>Update:</w:t>
        <w:tab/>
        <w:t>Contract negotiation regarding revising a long-term gas contract</w:t>
      </w:r>
    </w:p>
    <w:p>
      <w:pPr>
        <w:pStyle w:val="Normal"/>
        <w:keepNext w:val="true"/>
        <w:keepLines/>
        <w:numPr>
          <w:ilvl w:val="0"/>
          <w:numId w:val="6"/>
        </w:numPr>
        <w:tabs>
          <w:tab w:val="clear" w:pos="720"/>
          <w:tab w:val="left" w:pos="1080" w:leader="none"/>
        </w:tabs>
        <w:spacing w:before="120" w:after="0"/>
        <w:ind w:hanging="0" w:start="720" w:end="0"/>
        <w:jc w:val="both"/>
        <w:rPr/>
      </w:pPr>
      <w:r>
        <w:rPr/>
        <w:t>Enron Wind/Indian Mesa</w:t>
      </w:r>
    </w:p>
    <w:p>
      <w:pPr>
        <w:pStyle w:val="Normal"/>
        <w:keepNext w:val="true"/>
        <w:keepLines/>
        <w:tabs>
          <w:tab w:val="clear" w:pos="720"/>
          <w:tab w:val="left" w:pos="1260" w:leader="none"/>
        </w:tabs>
        <w:ind w:start="1080" w:end="0"/>
        <w:jc w:val="both"/>
        <w:rPr/>
      </w:pPr>
      <w:r>
        <w:rPr/>
        <w:t>-</w:t>
        <w:tab/>
        <w:t>Mike Curry/David Portz</w:t>
      </w:r>
    </w:p>
    <w:p>
      <w:pPr>
        <w:pStyle w:val="Normal"/>
        <w:keepNext w:val="true"/>
        <w:keepLines/>
        <w:tabs>
          <w:tab w:val="clear" w:pos="720"/>
          <w:tab w:val="left" w:pos="1260" w:leader="none"/>
        </w:tabs>
        <w:ind w:hanging="1080" w:start="2160" w:end="0"/>
        <w:jc w:val="both"/>
        <w:rPr/>
      </w:pPr>
      <w:r>
        <w:rPr/>
        <w:t>-</w:t>
        <w:tab/>
        <w:t>Update:</w:t>
        <w:tab/>
        <w:t>EPMI is negotiating with Indian Mesa, a wholly owned subsidiary of Enron Wind, for a 20-year deal involving the purchase of up to 494,000 MWh per year from a wind facility to be constructed in Pecos County, Texas</w:t>
      </w:r>
    </w:p>
    <w:p>
      <w:pPr>
        <w:pStyle w:val="Heading5"/>
        <w:spacing w:before="120" w:after="0"/>
        <w:ind w:hanging="0" w:start="0"/>
        <w:rPr/>
      </w:pPr>
      <w:r>
        <w:rPr>
          <w:sz w:val="24"/>
          <w:u w:val="none"/>
        </w:rPr>
        <w:tab/>
      </w:r>
      <w:r>
        <w:rPr>
          <w:sz w:val="24"/>
        </w:rPr>
        <w:t>Financial</w:t>
      </w:r>
    </w:p>
    <w:p>
      <w:pPr>
        <w:pStyle w:val="Normal"/>
        <w:keepLines/>
        <w:numPr>
          <w:ilvl w:val="0"/>
          <w:numId w:val="19"/>
        </w:numPr>
        <w:tabs>
          <w:tab w:val="clear" w:pos="720"/>
        </w:tabs>
        <w:spacing w:before="120" w:after="0"/>
        <w:ind w:hanging="360" w:start="1080" w:end="0"/>
        <w:rPr/>
      </w:pPr>
      <w:r>
        <w:rPr/>
        <w:t>Agricultural Commodities Trading</w:t>
      </w:r>
    </w:p>
    <w:p>
      <w:pPr>
        <w:pStyle w:val="Normal"/>
        <w:keepLines/>
        <w:tabs>
          <w:tab w:val="clear" w:pos="720"/>
          <w:tab w:val="left" w:pos="1260" w:leader="none"/>
        </w:tabs>
        <w:ind w:hanging="540" w:start="1620" w:end="0"/>
        <w:rPr/>
      </w:pPr>
      <w:r>
        <w:rPr/>
        <w:t>-</w:t>
        <w:tab/>
        <w:t>Gary Hickerson/Sara Shackleton/Robert Bruce</w:t>
      </w:r>
    </w:p>
    <w:p>
      <w:pPr>
        <w:pStyle w:val="EndnoteText"/>
        <w:keepLines/>
        <w:numPr>
          <w:ilvl w:val="1"/>
          <w:numId w:val="1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keepLines/>
        <w:numPr>
          <w:ilvl w:val="0"/>
          <w:numId w:val="19"/>
        </w:numPr>
        <w:tabs>
          <w:tab w:val="clear" w:pos="720"/>
        </w:tabs>
        <w:spacing w:before="120" w:after="0"/>
        <w:ind w:hanging="360" w:start="1080" w:end="0"/>
        <w:jc w:val="both"/>
        <w:rPr/>
      </w:pPr>
      <w:r>
        <w:rPr/>
        <w:t>Online Trading – North America</w:t>
      </w:r>
    </w:p>
    <w:p>
      <w:pPr>
        <w:pStyle w:val="Normal"/>
        <w:keepLines/>
        <w:tabs>
          <w:tab w:val="clear" w:pos="720"/>
          <w:tab w:val="left" w:pos="1260" w:leader="none"/>
        </w:tabs>
        <w:ind w:hanging="540" w:start="1620" w:end="0"/>
        <w:jc w:val="both"/>
        <w:rPr/>
      </w:pPr>
      <w:r>
        <w:rPr/>
        <w:t>-</w:t>
        <w:tab/>
        <w:t>Louise Kitchen/Mark Taylor/Leslie Hansen (Milbank Tweed Hadley &amp; McCloy)</w:t>
      </w:r>
    </w:p>
    <w:p>
      <w:pPr>
        <w:pStyle w:val="EndnoteText"/>
        <w:keepLines/>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Preparation of agreements for broker access and posting products offered by non-Enron parties.  Negotiating exceptions to standard online forms and approving language and documentation for new products</w:t>
      </w:r>
    </w:p>
    <w:p>
      <w:pPr>
        <w:pStyle w:val="Normal"/>
        <w:keepNext w:val="true"/>
        <w:keepLines/>
        <w:numPr>
          <w:ilvl w:val="0"/>
          <w:numId w:val="19"/>
        </w:numPr>
        <w:tabs>
          <w:tab w:val="clear" w:pos="720"/>
        </w:tabs>
        <w:spacing w:before="120" w:after="0"/>
        <w:ind w:hanging="360" w:start="1080" w:end="0"/>
        <w:jc w:val="both"/>
        <w:rPr/>
      </w:pPr>
      <w:r>
        <w:rPr/>
        <w:t>Enron Corp. ISDA Master Agreements</w:t>
      </w:r>
    </w:p>
    <w:p>
      <w:pPr>
        <w:pStyle w:val="Normal"/>
        <w:keepNext w:val="true"/>
        <w:keepLines/>
        <w:tabs>
          <w:tab w:val="clear" w:pos="720"/>
          <w:tab w:val="left" w:pos="1260" w:leader="none"/>
        </w:tabs>
        <w:ind w:hanging="540" w:start="1620" w:end="0"/>
        <w:jc w:val="both"/>
        <w:rPr/>
      </w:pPr>
      <w:r>
        <w:rPr/>
        <w:t>-</w:t>
        <w:tab/>
        <w:t>Clint Freeland/Sara Shackleton</w:t>
      </w:r>
    </w:p>
    <w:p>
      <w:pPr>
        <w:pStyle w:val="EndnoteText"/>
        <w:keepNext w:val="true"/>
        <w:keepLines/>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Normal"/>
        <w:keepLines/>
        <w:numPr>
          <w:ilvl w:val="0"/>
          <w:numId w:val="19"/>
        </w:numPr>
        <w:tabs>
          <w:tab w:val="clear" w:pos="720"/>
        </w:tabs>
        <w:spacing w:before="120" w:after="0"/>
        <w:ind w:hanging="360" w:start="1080" w:end="0"/>
        <w:jc w:val="both"/>
        <w:rPr/>
      </w:pPr>
      <w:r>
        <w:rPr/>
        <w:t>Agricultural Commodities Trading</w:t>
      </w:r>
    </w:p>
    <w:p>
      <w:pPr>
        <w:pStyle w:val="Normal"/>
        <w:keepLines/>
        <w:tabs>
          <w:tab w:val="clear" w:pos="720"/>
          <w:tab w:val="left" w:pos="1260" w:leader="none"/>
        </w:tabs>
        <w:ind w:hanging="1080" w:start="2160" w:end="0"/>
        <w:rPr/>
      </w:pPr>
      <w:r>
        <w:rPr/>
        <w:t>-</w:t>
        <w:tab/>
        <w:t>Gary Hickerson/Sara Shackleton/Robert Bruce</w:t>
      </w:r>
    </w:p>
    <w:p>
      <w:pPr>
        <w:pStyle w:val="EndnoteText"/>
        <w:keepLines/>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keepLines/>
        <w:numPr>
          <w:ilvl w:val="0"/>
          <w:numId w:val="19"/>
        </w:numPr>
        <w:tabs>
          <w:tab w:val="clear" w:pos="720"/>
        </w:tabs>
        <w:spacing w:before="120" w:after="0"/>
        <w:ind w:hanging="360" w:start="1080" w:end="0"/>
        <w:jc w:val="both"/>
        <w:rPr/>
      </w:pPr>
      <w:r>
        <w:rPr/>
        <w:t>Enron Corp. ISDA Master Agreements</w:t>
      </w:r>
    </w:p>
    <w:p>
      <w:pPr>
        <w:pStyle w:val="Normal"/>
        <w:keepLines/>
        <w:tabs>
          <w:tab w:val="clear" w:pos="720"/>
          <w:tab w:val="left" w:pos="1260" w:leader="none"/>
        </w:tabs>
        <w:ind w:hanging="1080" w:start="2160" w:end="0"/>
        <w:rPr/>
      </w:pPr>
      <w:r>
        <w:rPr/>
        <w:t>-</w:t>
        <w:tab/>
        <w:t>Clint Freel/Sara Shackleton</w:t>
      </w:r>
    </w:p>
    <w:p>
      <w:pPr>
        <w:pStyle w:val="EndnoteText"/>
        <w:keepLines/>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Normal"/>
        <w:keepLines/>
        <w:numPr>
          <w:ilvl w:val="0"/>
          <w:numId w:val="19"/>
        </w:numPr>
        <w:tabs>
          <w:tab w:val="clear" w:pos="720"/>
        </w:tabs>
        <w:spacing w:before="120" w:after="0"/>
        <w:ind w:hanging="360" w:start="1080" w:end="0"/>
        <w:jc w:val="both"/>
        <w:rPr/>
      </w:pPr>
      <w:r>
        <w:rPr/>
        <w:t>Commodity Exchange Act</w:t>
      </w:r>
    </w:p>
    <w:p>
      <w:pPr>
        <w:pStyle w:val="Normal"/>
        <w:keepLines/>
        <w:tabs>
          <w:tab w:val="clear" w:pos="720"/>
          <w:tab w:val="left" w:pos="1260" w:leader="none"/>
        </w:tabs>
        <w:ind w:hanging="1080" w:start="2160" w:end="0"/>
        <w:rPr/>
      </w:pPr>
      <w:r>
        <w:rPr/>
        <w:t>-</w:t>
        <w:tab/>
        <w:t>John Lavorato/Mark Haedicke/Mark Taylor (Sullivan &amp; Cromwell)</w:t>
      </w:r>
    </w:p>
    <w:p>
      <w:pPr>
        <w:pStyle w:val="EndnoteText"/>
        <w:keepLines/>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Monitoring legislative developments and lobbying in connection with proposed revision of the Commodity Exchange Act</w:t>
      </w:r>
    </w:p>
    <w:p>
      <w:pPr>
        <w:pStyle w:val="Heading5"/>
        <w:spacing w:before="120" w:after="0"/>
        <w:ind w:hanging="0" w:start="0"/>
        <w:jc w:val="both"/>
        <w:rPr/>
      </w:pPr>
      <w:r>
        <w:rPr>
          <w:sz w:val="24"/>
          <w:u w:val="none"/>
        </w:rPr>
        <w:tab/>
      </w:r>
      <w:r>
        <w:rPr>
          <w:sz w:val="24"/>
        </w:rPr>
        <w:t>Portland</w:t>
      </w:r>
    </w:p>
    <w:p>
      <w:pPr>
        <w:pStyle w:val="Normal"/>
        <w:keepNext w:val="true"/>
        <w:keepLines/>
        <w:numPr>
          <w:ilvl w:val="0"/>
          <w:numId w:val="9"/>
        </w:numPr>
        <w:spacing w:before="120" w:after="0"/>
        <w:ind w:hanging="360" w:start="1080" w:end="0"/>
        <w:jc w:val="both"/>
        <w:rPr/>
      </w:pPr>
      <w:r>
        <w:rPr/>
        <w:t>City of Vernon</w:t>
      </w:r>
    </w:p>
    <w:p>
      <w:pPr>
        <w:pStyle w:val="Normal"/>
        <w:keepNext w:val="true"/>
        <w:keepLines/>
        <w:tabs>
          <w:tab w:val="clear" w:pos="720"/>
          <w:tab w:val="left" w:pos="1260" w:leader="none"/>
        </w:tabs>
        <w:ind w:hanging="540" w:start="1620" w:end="0"/>
        <w:jc w:val="both"/>
        <w:rPr/>
      </w:pPr>
      <w:r>
        <w:rPr/>
        <w:t>-</w:t>
        <w:tab/>
        <w:t>Christian Yoder/Elizabeth Sager/Richard Sanders</w:t>
      </w:r>
    </w:p>
    <w:p>
      <w:pPr>
        <w:pStyle w:val="EndnoteText"/>
        <w:keepNext w:val="true"/>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City of Vernon refused to honor a 10-year trade entered into with EPMI claiming the transaction was unauthorized.  EPMI is investigating its legal options.</w:t>
      </w:r>
    </w:p>
    <w:p>
      <w:pPr>
        <w:pStyle w:val="Normal"/>
        <w:keepNext w:val="true"/>
        <w:keepLines/>
        <w:numPr>
          <w:ilvl w:val="0"/>
          <w:numId w:val="9"/>
        </w:numPr>
        <w:spacing w:before="120" w:after="0"/>
        <w:ind w:hanging="360" w:start="1080" w:end="0"/>
        <w:jc w:val="both"/>
        <w:rPr/>
      </w:pPr>
      <w:r>
        <w:rPr/>
        <w:t>BPA</w:t>
      </w:r>
    </w:p>
    <w:p>
      <w:pPr>
        <w:pStyle w:val="Normal"/>
        <w:keepNext w:val="true"/>
        <w:keepLines/>
        <w:tabs>
          <w:tab w:val="clear" w:pos="720"/>
          <w:tab w:val="left" w:pos="1260" w:leader="none"/>
        </w:tabs>
        <w:ind w:hanging="540" w:start="1620" w:end="0"/>
        <w:jc w:val="both"/>
        <w:rPr/>
      </w:pPr>
      <w:r>
        <w:rPr/>
        <w:t>-</w:t>
        <w:tab/>
        <w:t>Christian Yoder//Richard Sanders</w:t>
      </w:r>
    </w:p>
    <w:p>
      <w:pPr>
        <w:pStyle w:val="EndnoteText"/>
        <w:keepNext w:val="true"/>
        <w:numPr>
          <w:ilvl w:val="1"/>
          <w:numId w:val="1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w:t>
      </w:r>
    </w:p>
    <w:p>
      <w:pPr>
        <w:pStyle w:val="Heading4"/>
        <w:tabs>
          <w:tab w:val="clear" w:pos="720"/>
          <w:tab w:val="left" w:pos="1344" w:leader="none"/>
          <w:tab w:val="left" w:pos="5106" w:leader="none"/>
          <w:tab w:val="left" w:pos="7254" w:leader="none"/>
        </w:tabs>
        <w:spacing w:before="240" w:after="0"/>
        <w:ind w:hanging="0" w:start="0"/>
        <w:rPr/>
      </w:pPr>
      <w:r>
        <w:rPr/>
        <w:t>NET WORKS</w:t>
      </w:r>
    </w:p>
    <w:p>
      <w:pPr>
        <w:pStyle w:val="Normal"/>
        <w:keepNext w:val="true"/>
        <w:keepLines/>
        <w:numPr>
          <w:ilvl w:val="0"/>
          <w:numId w:val="12"/>
        </w:numPr>
        <w:tabs>
          <w:tab w:val="clear" w:pos="720"/>
          <w:tab w:val="left" w:pos="1080" w:leader="none"/>
          <w:tab w:val="left" w:pos="1260" w:leader="none"/>
        </w:tabs>
        <w:spacing w:before="120" w:after="0"/>
        <w:ind w:hanging="360" w:start="1080" w:end="0"/>
        <w:jc w:val="both"/>
        <w:rPr/>
      </w:pPr>
      <w:r>
        <w:rPr/>
        <w:t>EnronOnline – North America</w:t>
      </w:r>
    </w:p>
    <w:p>
      <w:pPr>
        <w:pStyle w:val="Normal"/>
        <w:keepLines/>
        <w:tabs>
          <w:tab w:val="clear" w:pos="720"/>
          <w:tab w:val="left" w:pos="1260" w:leader="none"/>
        </w:tabs>
        <w:ind w:hanging="1080" w:start="2160" w:end="0"/>
        <w:rPr/>
      </w:pPr>
      <w:r>
        <w:rPr/>
        <w:t>-</w:t>
        <w:tab/>
        <w:t>Louise Kitchen/Mark Taylor/Leslie Hansen (Milbank Tweed Hadley &amp; McCloy)</w:t>
      </w:r>
    </w:p>
    <w:p>
      <w:pPr>
        <w:pStyle w:val="EndnoteText"/>
        <w:keepLines/>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keepNext w:val="true"/>
        <w:keepLines/>
        <w:numPr>
          <w:ilvl w:val="0"/>
          <w:numId w:val="12"/>
        </w:numPr>
        <w:tabs>
          <w:tab w:val="clear" w:pos="720"/>
          <w:tab w:val="left" w:pos="1080" w:leader="none"/>
          <w:tab w:val="left" w:pos="1260" w:leader="none"/>
        </w:tabs>
        <w:spacing w:before="120" w:after="0"/>
        <w:ind w:hanging="360" w:start="1080" w:end="0"/>
        <w:jc w:val="both"/>
        <w:rPr/>
      </w:pPr>
      <w:r>
        <w:rPr/>
        <w:t>Clickpaper</w:t>
      </w:r>
    </w:p>
    <w:p>
      <w:pPr>
        <w:pStyle w:val="Normal"/>
        <w:numPr>
          <w:ilvl w:val="1"/>
          <w:numId w:val="19"/>
        </w:numPr>
        <w:tabs>
          <w:tab w:val="clear" w:pos="720"/>
          <w:tab w:val="left" w:pos="1260" w:leader="none"/>
        </w:tabs>
        <w:rPr/>
      </w:pPr>
      <w:r>
        <w:rPr/>
        <w:t>Greg Piper/Travis McCullough/Harry Collins</w:t>
      </w:r>
    </w:p>
    <w:p>
      <w:pPr>
        <w:pStyle w:val="EndnoteText"/>
        <w:numPr>
          <w:ilvl w:val="1"/>
          <w:numId w:val="1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Expansion of access to paper trading system into Europe</w:t>
      </w:r>
    </w:p>
    <w:p>
      <w:pPr>
        <w:pStyle w:val="Normal"/>
        <w:keepNext w:val="true"/>
        <w:keepLines/>
        <w:numPr>
          <w:ilvl w:val="0"/>
          <w:numId w:val="12"/>
        </w:numPr>
        <w:tabs>
          <w:tab w:val="clear" w:pos="720"/>
          <w:tab w:val="left" w:pos="1080" w:leader="none"/>
          <w:tab w:val="left" w:pos="1260" w:leader="none"/>
        </w:tabs>
        <w:spacing w:before="120" w:after="0"/>
        <w:ind w:hanging="360" w:start="1080" w:end="0"/>
        <w:jc w:val="both"/>
        <w:rPr/>
      </w:pPr>
      <w:r>
        <w:rPr/>
        <w:t>Equity Investments</w:t>
      </w:r>
    </w:p>
    <w:p>
      <w:pPr>
        <w:pStyle w:val="Normal"/>
        <w:keepNext w:val="true"/>
        <w:keepLines/>
        <w:numPr>
          <w:ilvl w:val="1"/>
          <w:numId w:val="19"/>
        </w:numPr>
        <w:tabs>
          <w:tab w:val="clear" w:pos="720"/>
          <w:tab w:val="left" w:pos="1260" w:leader="none"/>
        </w:tabs>
        <w:rPr/>
      </w:pPr>
      <w:r>
        <w:rPr/>
        <w:t>Andy Zipper/Travis McCullough (Vinson &amp; Elkins)</w:t>
      </w:r>
    </w:p>
    <w:p>
      <w:pPr>
        <w:pStyle w:val="EndnoteText"/>
        <w:keepNext w:val="true"/>
        <w:keepLines/>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Several investments in connection with posting EnronOnline prices to third party trading platforms are in various stages: Espeed – under negotiation, HoustonStreet – HSR approval received and ready to close, True Quote – closed, Intercontinental Exchange – on hold</w:t>
      </w:r>
    </w:p>
    <w:p>
      <w:pPr>
        <w:pStyle w:val="Heading4"/>
        <w:tabs>
          <w:tab w:val="clear" w:pos="720"/>
          <w:tab w:val="left" w:pos="1344" w:leader="none"/>
          <w:tab w:val="left" w:pos="5106" w:leader="none"/>
          <w:tab w:val="left" w:pos="7254" w:leader="none"/>
        </w:tabs>
        <w:spacing w:before="240" w:after="0"/>
        <w:ind w:hanging="0" w:start="0"/>
        <w:rPr/>
      </w:pPr>
      <w:r>
        <w:rPr/>
        <w:t>EAST ORIGINATION &amp; MEXICO</w:t>
      </w:r>
    </w:p>
    <w:p>
      <w:pPr>
        <w:pStyle w:val="Normal"/>
        <w:keepNext w:val="true"/>
        <w:keepLines/>
        <w:numPr>
          <w:ilvl w:val="0"/>
          <w:numId w:val="8"/>
        </w:numPr>
        <w:tabs>
          <w:tab w:val="clear" w:pos="720"/>
          <w:tab w:val="left" w:pos="1080" w:leader="none"/>
        </w:tabs>
        <w:spacing w:before="120" w:after="0"/>
        <w:jc w:val="both"/>
        <w:rPr/>
      </w:pPr>
      <w:r>
        <w:rPr/>
        <w:t>Off balance sheet financing and equity sell-down of 1999 and 2000 peakers power plants and 2001 development sites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Final negotiations are underway; purchase and sale agreements for sale of two peakers.</w:t>
      </w:r>
    </w:p>
    <w:p>
      <w:pPr>
        <w:pStyle w:val="Normal"/>
        <w:keepNext w:val="true"/>
        <w:keepLines/>
        <w:numPr>
          <w:ilvl w:val="0"/>
          <w:numId w:val="8"/>
        </w:numPr>
        <w:tabs>
          <w:tab w:val="clear" w:pos="720"/>
          <w:tab w:val="left" w:pos="1260" w:leader="none"/>
        </w:tabs>
        <w:spacing w:before="120" w:after="0"/>
        <w:jc w:val="both"/>
        <w:rPr/>
      </w:pPr>
      <w:r>
        <w:rPr/>
        <w:t>Expansion of Linden Power Plant (East Coast Power) and equity sell-down</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Lisa Mellencamp</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Negotiation of agreements for the construction and the permitting of expansions underway; negotiations for equity sell-down underway</w:t>
      </w:r>
    </w:p>
    <w:p>
      <w:pPr>
        <w:pStyle w:val="Normal"/>
        <w:keepNext w:val="true"/>
        <w:keepLines/>
        <w:numPr>
          <w:ilvl w:val="0"/>
          <w:numId w:val="8"/>
        </w:numPr>
        <w:tabs>
          <w:tab w:val="clear" w:pos="720"/>
          <w:tab w:val="left" w:pos="1260" w:leader="none"/>
        </w:tabs>
        <w:spacing w:before="120" w:after="0"/>
        <w:jc w:val="both"/>
        <w:rPr/>
      </w:pPr>
      <w:r>
        <w:rPr/>
        <w:t>Fuel Cell Joint Venture</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 xml:space="preserve">- </w:t>
        <w:tab/>
        <w:t>Kay Mann</w:t>
      </w:r>
    </w:p>
    <w:p>
      <w:pPr>
        <w:pStyle w:val="BodyText"/>
        <w:keepNext w:val="true"/>
        <w:keepLines/>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with Connecticut Resource Recovery Authority in place; definitive agreements in progress</w:t>
      </w:r>
    </w:p>
    <w:p>
      <w:pPr>
        <w:pStyle w:val="Normal"/>
        <w:keepNext w:val="true"/>
        <w:keepLines/>
        <w:numPr>
          <w:ilvl w:val="0"/>
          <w:numId w:val="8"/>
        </w:numPr>
        <w:tabs>
          <w:tab w:val="clear" w:pos="720"/>
          <w:tab w:val="left" w:pos="1260" w:leader="none"/>
        </w:tabs>
        <w:spacing w:before="120" w:after="0"/>
        <w:jc w:val="both"/>
        <w:rPr/>
      </w:pPr>
      <w:r>
        <w:rPr/>
        <w:t>Alamac – Acquisition of two North Carolina 35W coal-fired power plants via equity purchase</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w:t>
      </w:r>
    </w:p>
    <w:p>
      <w:pPr>
        <w:pStyle w:val="BodyText"/>
        <w:keepNext w:val="true"/>
        <w:keepLines/>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Execution of purchase agreement expected 11/20/00; closing to occur in December, 2000</w:t>
      </w:r>
    </w:p>
    <w:p>
      <w:pPr>
        <w:pStyle w:val="BodyText"/>
        <w:keepNext w:val="true"/>
        <w:keepLines/>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keepNext w:val="true"/>
        <w:keepLines/>
        <w:numPr>
          <w:ilvl w:val="0"/>
          <w:numId w:val="20"/>
        </w:numPr>
        <w:spacing w:before="120" w:after="0"/>
        <w:ind w:hanging="360" w:start="1080" w:end="0"/>
        <w:jc w:val="both"/>
        <w:rPr/>
      </w:pPr>
      <w:r>
        <w:rPr/>
        <w:t>Vitro Power Generation Transaction</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keepNext w:val="true"/>
        <w:keepLines/>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Financial close with IDB should occur by 11/17/00</w:t>
      </w:r>
    </w:p>
    <w:p>
      <w:pPr>
        <w:pStyle w:val="Normal"/>
        <w:keepNext w:val="true"/>
        <w:keepLines/>
        <w:numPr>
          <w:ilvl w:val="0"/>
          <w:numId w:val="20"/>
        </w:numPr>
        <w:spacing w:before="120" w:after="0"/>
        <w:ind w:hanging="360" w:start="1080" w:end="0"/>
        <w:jc w:val="both"/>
        <w:rPr/>
      </w:pPr>
      <w:r>
        <w:rPr/>
        <w:t>Project Stealth – Development of several small power generation facilities - to be packaged for sale by ENA</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Various stages of progress</w:t>
      </w:r>
      <w:r>
        <w:br w:type="page"/>
      </w:r>
    </w:p>
    <w:p>
      <w:pPr>
        <w:pStyle w:val="Normal"/>
        <w:keepNext w:val="true"/>
        <w:keepLines/>
        <w:tabs>
          <w:tab w:val="clear" w:pos="720"/>
          <w:tab w:val="left" w:pos="1344" w:leader="none"/>
          <w:tab w:val="left" w:pos="5106" w:leader="none"/>
          <w:tab w:val="left" w:pos="7254" w:leader="none"/>
        </w:tabs>
        <w:spacing w:before="240" w:after="0"/>
        <w:rPr>
          <w:b/>
          <w:bCs/>
        </w:rPr>
      </w:pPr>
      <w:r>
        <w:rPr>
          <w:b/>
          <w:bCs/>
        </w:rPr>
        <w:t>WEST ORIGINATION</w:t>
      </w:r>
    </w:p>
    <w:p>
      <w:pPr>
        <w:pStyle w:val="Normal"/>
        <w:keepNext w:val="true"/>
        <w:keepLines/>
        <w:numPr>
          <w:ilvl w:val="0"/>
          <w:numId w:val="2"/>
        </w:numPr>
        <w:tabs>
          <w:tab w:val="clear" w:pos="720"/>
          <w:tab w:val="left" w:pos="1260" w:leader="none"/>
        </w:tabs>
        <w:spacing w:before="120" w:after="0"/>
        <w:jc w:val="both"/>
        <w:rPr/>
      </w:pPr>
      <w:r>
        <w:rPr/>
        <w:t>Development of Pastoria Energy Facility and expansion of LV Cogen and equity sell-down of Pastoria and LV Cogen</w:t>
      </w:r>
    </w:p>
    <w:p>
      <w:pPr>
        <w:pStyle w:val="Normal"/>
        <w:keepNext w:val="true"/>
        <w:keepLines/>
        <w:tabs>
          <w:tab w:val="clear" w:pos="720"/>
          <w:tab w:val="left" w:pos="1260" w:leader="none"/>
        </w:tabs>
        <w:ind w:hanging="360" w:start="1440" w:end="0"/>
        <w:jc w:val="both"/>
        <w:rPr/>
      </w:pPr>
      <w:r>
        <w:rPr/>
        <w:t>-</w:t>
        <w:tab/>
        <w:t>Karen Jones/Sheila Tweed</w:t>
      </w:r>
    </w:p>
    <w:p>
      <w:pPr>
        <w:pStyle w:val="Normal"/>
        <w:keepNext w:val="true"/>
        <w:keepLines/>
        <w:numPr>
          <w:ilvl w:val="0"/>
          <w:numId w:val="10"/>
        </w:numPr>
        <w:tabs>
          <w:tab w:val="clear" w:pos="720"/>
          <w:tab w:val="left" w:pos="1260" w:leader="none"/>
        </w:tabs>
        <w:ind w:hanging="1080" w:start="2160" w:end="0"/>
        <w:jc w:val="both"/>
        <w:rPr/>
      </w:pPr>
      <w:r>
        <w:rPr/>
        <w:t>Update:</w:t>
        <w:tab/>
        <w:t xml:space="preserve">Negotiating the sale of Pastoria for a closing this quarter.  </w:t>
      </w:r>
    </w:p>
    <w:p>
      <w:pPr>
        <w:pStyle w:val="Normal"/>
        <w:keepNext w:val="true"/>
        <w:keepLines/>
        <w:numPr>
          <w:ilvl w:val="0"/>
          <w:numId w:val="2"/>
        </w:numPr>
        <w:tabs>
          <w:tab w:val="clear" w:pos="720"/>
          <w:tab w:val="left" w:pos="1260" w:leader="none"/>
        </w:tabs>
        <w:spacing w:before="120" w:after="0"/>
        <w:jc w:val="both"/>
        <w:rPr/>
      </w:pPr>
      <w:r>
        <w:rPr/>
        <w:t>Development of multiple sites for power plant development in Florida, Washington, Colorado, Louisiana, Georgia and Missouri</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Carter/Bart Clark/Kay Mann/Karen Jones/Al Larsen</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sites, turbines and getting permits for 5 to 7 projects</w:t>
      </w:r>
    </w:p>
    <w:p>
      <w:pPr>
        <w:pStyle w:val="Normal"/>
        <w:keepNext w:val="true"/>
        <w:keepLines/>
        <w:numPr>
          <w:ilvl w:val="0"/>
          <w:numId w:val="2"/>
        </w:numPr>
        <w:tabs>
          <w:tab w:val="clear" w:pos="720"/>
          <w:tab w:val="left" w:pos="1260" w:leader="none"/>
        </w:tabs>
        <w:spacing w:before="120" w:after="0"/>
        <w:jc w:val="both"/>
        <w:rPr/>
      </w:pPr>
      <w:r>
        <w:rPr/>
        <w:t>Development of two peaker projects in California and expansion of LV Cogen for reliability contracts with California ISO</w:t>
      </w:r>
    </w:p>
    <w:p>
      <w:pPr>
        <w:pStyle w:val="BodyText"/>
        <w:keepNext w:val="true"/>
        <w:keepLines/>
        <w:widowControl/>
        <w:numPr>
          <w:ilvl w:val="0"/>
          <w:numId w:val="10"/>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Dale Rasmussen/Al Larsen/Sheila Tweed</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 xml:space="preserve">Contracts for sale of capacity during the summers of 2001, 2002 and 2003 should be executed by November 13, 2000.  Project development is proceeding.  </w:t>
      </w:r>
    </w:p>
    <w:p>
      <w:pPr>
        <w:pStyle w:val="Normal"/>
        <w:keepNext w:val="true"/>
        <w:keepLines/>
        <w:numPr>
          <w:ilvl w:val="0"/>
          <w:numId w:val="2"/>
        </w:numPr>
        <w:tabs>
          <w:tab w:val="clear" w:pos="720"/>
          <w:tab w:val="left" w:pos="1260" w:leader="none"/>
        </w:tabs>
        <w:spacing w:before="120" w:after="0"/>
        <w:jc w:val="both"/>
        <w:rPr/>
      </w:pPr>
      <w:r>
        <w:rPr/>
        <w:t xml:space="preserve">Power Plant Development in Colorado for long-term PPA with PSCO.  </w:t>
      </w:r>
    </w:p>
    <w:p>
      <w:pPr>
        <w:pStyle w:val="BodyText"/>
        <w:keepNext w:val="true"/>
        <w:keepLines/>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Al Larsen</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PPA has been executed.  Project is in development for 2001 start date.</w:t>
      </w:r>
    </w:p>
    <w:p>
      <w:pPr>
        <w:pStyle w:val="Heading4"/>
        <w:keepLines/>
        <w:tabs>
          <w:tab w:val="clear" w:pos="720"/>
          <w:tab w:val="left" w:pos="1344" w:leader="none"/>
          <w:tab w:val="left" w:pos="5106" w:leader="none"/>
          <w:tab w:val="left" w:pos="7254" w:leader="none"/>
        </w:tabs>
        <w:spacing w:before="240" w:after="0"/>
        <w:ind w:hanging="0" w:start="0"/>
        <w:rPr/>
      </w:pPr>
      <w:r>
        <w:rPr/>
        <w:t>UPSTREAM ORIGINATION AND HPL</w:t>
      </w:r>
    </w:p>
    <w:p>
      <w:pPr>
        <w:pStyle w:val="Normal"/>
        <w:keepNext w:val="true"/>
        <w:keepLines/>
        <w:numPr>
          <w:ilvl w:val="0"/>
          <w:numId w:val="15"/>
        </w:numPr>
        <w:tabs>
          <w:tab w:val="clear" w:pos="720"/>
          <w:tab w:val="left" w:pos="1260" w:leader="none"/>
        </w:tabs>
        <w:spacing w:before="120" w:after="0"/>
        <w:jc w:val="both"/>
        <w:rPr/>
      </w:pPr>
      <w:r>
        <w:rPr/>
        <w:t>Project Triple Lutz – Sale of HPL and related assets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keepNext w:val="true"/>
        <w:keepLines/>
        <w:widowControl/>
        <w:tabs>
          <w:tab w:val="clear" w:pos="720"/>
          <w:tab w:val="left" w:pos="1260" w:leader="none"/>
        </w:tabs>
        <w:ind w:hanging="1080" w:start="2160" w:end="0"/>
        <w:rPr/>
      </w:pPr>
      <w:r>
        <w:rPr>
          <w:rFonts w:cs="Times New Roman" w:ascii="Times New Roman" w:hAnsi="Times New Roman"/>
          <w:sz w:val="24"/>
        </w:rPr>
        <w:t>-</w:t>
        <w:tab/>
        <w:t>Update:</w:t>
        <w:tab/>
        <w:t>Negotiating with two potential purchasers; any closing would be in 1</w:t>
      </w:r>
      <w:r>
        <w:rPr>
          <w:rFonts w:cs="Times New Roman" w:ascii="Times New Roman" w:hAnsi="Times New Roman"/>
          <w:sz w:val="24"/>
          <w:vertAlign w:val="superscript"/>
        </w:rPr>
        <w:t>st</w:t>
      </w:r>
      <w:r>
        <w:rPr>
          <w:rFonts w:cs="Times New Roman" w:ascii="Times New Roman" w:hAnsi="Times New Roman"/>
          <w:sz w:val="24"/>
        </w:rPr>
        <w:t>/2</w:t>
      </w:r>
      <w:r>
        <w:rPr>
          <w:rFonts w:cs="Times New Roman" w:ascii="Times New Roman" w:hAnsi="Times New Roman"/>
          <w:sz w:val="24"/>
          <w:vertAlign w:val="superscript"/>
        </w:rPr>
        <w:t>nd</w:t>
      </w:r>
      <w:r>
        <w:rPr>
          <w:rFonts w:cs="Times New Roman" w:ascii="Times New Roman" w:hAnsi="Times New Roman"/>
          <w:sz w:val="24"/>
        </w:rPr>
        <w:t xml:space="preserve"> quarter 2001</w:t>
      </w:r>
    </w:p>
    <w:p>
      <w:pPr>
        <w:pStyle w:val="Normal"/>
        <w:keepNext w:val="true"/>
        <w:keepLines/>
        <w:numPr>
          <w:ilvl w:val="0"/>
          <w:numId w:val="15"/>
        </w:numPr>
        <w:tabs>
          <w:tab w:val="clear" w:pos="720"/>
          <w:tab w:val="left" w:pos="1260" w:leader="none"/>
        </w:tabs>
        <w:spacing w:before="120" w:after="0"/>
        <w:jc w:val="both"/>
        <w:rPr/>
      </w:pPr>
      <w:r>
        <w:rPr/>
        <w:t>Project 20/20 - Sale of Wyoming gathering assets/entities to Northern Border</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Shonnie Daniel</w:t>
      </w:r>
    </w:p>
    <w:p>
      <w:pPr>
        <w:pStyle w:val="BodyText"/>
        <w:keepNext w:val="true"/>
        <w:keepLines/>
        <w:widowControl/>
        <w:tabs>
          <w:tab w:val="clear" w:pos="720"/>
          <w:tab w:val="left" w:pos="1260" w:leader="none"/>
        </w:tabs>
        <w:ind w:hanging="1080" w:start="2160" w:end="0"/>
        <w:rPr/>
      </w:pPr>
      <w:r>
        <w:rPr>
          <w:rFonts w:cs="Times New Roman" w:ascii="Times New Roman" w:hAnsi="Times New Roman"/>
          <w:sz w:val="24"/>
        </w:rPr>
        <w:t>-</w:t>
        <w:tab/>
        <w:t>Update:</w:t>
        <w:tab/>
        <w:t>Project closed – 3</w:t>
      </w:r>
      <w:r>
        <w:rPr>
          <w:rFonts w:cs="Times New Roman" w:ascii="Times New Roman" w:hAnsi="Times New Roman"/>
          <w:sz w:val="24"/>
          <w:vertAlign w:val="superscript"/>
        </w:rPr>
        <w:t>rd</w:t>
      </w:r>
      <w:r>
        <w:rPr>
          <w:rFonts w:cs="Times New Roman" w:ascii="Times New Roman" w:hAnsi="Times New Roman"/>
          <w:sz w:val="24"/>
        </w:rPr>
        <w:t xml:space="preserve"> quarter – post-closing obligations underway</w:t>
      </w:r>
    </w:p>
    <w:p>
      <w:pPr>
        <w:pStyle w:val="Normal"/>
        <w:keepNext w:val="true"/>
        <w:keepLines/>
        <w:numPr>
          <w:ilvl w:val="0"/>
          <w:numId w:val="15"/>
        </w:numPr>
        <w:tabs>
          <w:tab w:val="clear" w:pos="720"/>
          <w:tab w:val="left" w:pos="1260" w:leader="none"/>
        </w:tabs>
        <w:spacing w:before="120" w:after="0"/>
        <w:jc w:val="both"/>
        <w:rPr/>
      </w:pPr>
      <w:r>
        <w:rPr/>
        <w:t>NEWCO</w:t>
      </w:r>
      <w:r>
        <w:rPr>
          <w:vertAlign w:val="subscript"/>
        </w:rPr>
        <w:t xml:space="preserve">2 </w:t>
      </w:r>
      <w:r>
        <w:rPr/>
        <w:t>- Purchase of interests in CO</w:t>
      </w:r>
      <w:r>
        <w:rPr>
          <w:vertAlign w:val="subscript"/>
        </w:rPr>
        <w:t>2</w:t>
      </w:r>
      <w:r>
        <w:rPr/>
        <w:t xml:space="preserve"> ventures</w:t>
      </w:r>
    </w:p>
    <w:p>
      <w:pPr>
        <w:pStyle w:val="Normal"/>
        <w:keepNext w:val="true"/>
        <w:keepLines/>
        <w:numPr>
          <w:ilvl w:val="0"/>
          <w:numId w:val="10"/>
        </w:numPr>
        <w:tabs>
          <w:tab w:val="clear" w:pos="720"/>
          <w:tab w:val="left" w:pos="1260" w:leader="none"/>
        </w:tabs>
        <w:jc w:val="both"/>
        <w:rPr/>
      </w:pPr>
      <w:r>
        <w:rPr/>
        <w:t>Shonnie Daniel</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Project in structuring phase</w:t>
      </w:r>
    </w:p>
    <w:p>
      <w:pPr>
        <w:pStyle w:val="Normal"/>
        <w:keepNext w:val="true"/>
        <w:keepLines/>
        <w:numPr>
          <w:ilvl w:val="0"/>
          <w:numId w:val="15"/>
        </w:numPr>
        <w:tabs>
          <w:tab w:val="clear" w:pos="720"/>
          <w:tab w:val="left" w:pos="1260" w:leader="none"/>
        </w:tabs>
        <w:spacing w:before="120" w:after="0"/>
        <w:jc w:val="both"/>
        <w:rPr/>
      </w:pPr>
      <w:r>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LIPA Power Sale scrapped; barges to be sold internally</w:t>
      </w:r>
    </w:p>
    <w:p>
      <w:pPr>
        <w:pStyle w:val="Normal"/>
        <w:keepNext w:val="true"/>
        <w:keepLines/>
        <w:numPr>
          <w:ilvl w:val="0"/>
          <w:numId w:val="15"/>
        </w:numPr>
        <w:tabs>
          <w:tab w:val="clear" w:pos="720"/>
          <w:tab w:val="left" w:pos="1260" w:leader="none"/>
        </w:tabs>
        <w:spacing w:before="120" w:after="0"/>
        <w:jc w:val="both"/>
        <w:rPr/>
      </w:pPr>
      <w:r>
        <w:rPr/>
        <w:t>Lined Rock Cavern Gas Storage – Acquisition of IP rights to develop worldwide gas storage caverns</w:t>
      </w:r>
    </w:p>
    <w:p>
      <w:pPr>
        <w:pStyle w:val="Normal"/>
        <w:keepNext w:val="true"/>
        <w:keepLines/>
        <w:numPr>
          <w:ilvl w:val="0"/>
          <w:numId w:val="10"/>
        </w:numPr>
        <w:tabs>
          <w:tab w:val="clear" w:pos="720"/>
          <w:tab w:val="left" w:pos="1080" w:leader="none"/>
          <w:tab w:val="left" w:pos="1260" w:leader="none"/>
        </w:tabs>
        <w:jc w:val="both"/>
        <w:rPr/>
      </w:pPr>
      <w:r>
        <w:rPr/>
        <w:t>Steve Van Hooser</w:t>
      </w:r>
    </w:p>
    <w:p>
      <w:pPr>
        <w:pStyle w:val="Normal"/>
        <w:keepNext w:val="true"/>
        <w:keepLines/>
        <w:numPr>
          <w:ilvl w:val="0"/>
          <w:numId w:val="10"/>
        </w:numPr>
        <w:tabs>
          <w:tab w:val="clear" w:pos="720"/>
          <w:tab w:val="left" w:pos="1260" w:leader="none"/>
        </w:tabs>
        <w:ind w:hanging="1080" w:start="2160" w:end="0"/>
        <w:jc w:val="both"/>
        <w:rPr/>
      </w:pPr>
      <w:r>
        <w:rPr/>
        <w:t>Update:</w:t>
        <w:tab/>
        <w:t>MOU not executed; project likely to be abandoned</w:t>
      </w:r>
    </w:p>
    <w:p>
      <w:pPr>
        <w:pStyle w:val="Normal"/>
        <w:keepNext w:val="true"/>
        <w:keepLines/>
        <w:numPr>
          <w:ilvl w:val="0"/>
          <w:numId w:val="15"/>
        </w:numPr>
        <w:tabs>
          <w:tab w:val="clear" w:pos="720"/>
          <w:tab w:val="left" w:pos="1260" w:leader="none"/>
        </w:tabs>
        <w:spacing w:before="120" w:after="0"/>
        <w:jc w:val="both"/>
        <w:rPr/>
      </w:pPr>
      <w:r>
        <w:rPr/>
        <w:t>Routine RRC Audit of Annual Report and payment of Gross Receipts Taxes (mid 1997 – 1999)</w:t>
      </w:r>
    </w:p>
    <w:p>
      <w:pPr>
        <w:pStyle w:val="Normal"/>
        <w:keepNext w:val="true"/>
        <w:keepLines/>
        <w:tabs>
          <w:tab w:val="clear" w:pos="720"/>
          <w:tab w:val="left" w:pos="-90" w:leader="none"/>
          <w:tab w:val="left" w:pos="90" w:leader="none"/>
          <w:tab w:val="left" w:pos="1080" w:leader="none"/>
          <w:tab w:val="left" w:pos="1260" w:leader="none"/>
        </w:tabs>
        <w:ind w:start="1080" w:end="0"/>
        <w:jc w:val="both"/>
        <w:rPr/>
      </w:pPr>
      <w:r>
        <w:rPr/>
        <w:t>-</w:t>
        <w:tab/>
        <w:t>HPL Accounting Department</w:t>
      </w:r>
    </w:p>
    <w:p>
      <w:pPr>
        <w:pStyle w:val="EndnoteText"/>
        <w:keepNext w:val="true"/>
        <w:keepLines/>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6/30/00 staff auditors of the RRC issued a letter finding various deficiencies in accounting systems; responses filed</w:t>
      </w:r>
    </w:p>
    <w:p>
      <w:pPr>
        <w:pStyle w:val="Heading4"/>
        <w:keepLines/>
        <w:tabs>
          <w:tab w:val="clear" w:pos="720"/>
          <w:tab w:val="left" w:pos="1344" w:leader="none"/>
          <w:tab w:val="left" w:pos="5106" w:leader="none"/>
          <w:tab w:val="left" w:pos="7254" w:leader="none"/>
        </w:tabs>
        <w:spacing w:before="240" w:after="0"/>
        <w:ind w:hanging="0" w:start="0"/>
        <w:rPr/>
      </w:pPr>
      <w:r>
        <w:rPr/>
        <w:t>FINANCE/M&amp;A/ENERGY INVESTMENTS</w:t>
      </w:r>
    </w:p>
    <w:p>
      <w:pPr>
        <w:pStyle w:val="Normal"/>
        <w:keepNext w:val="true"/>
        <w:keepLines/>
        <w:numPr>
          <w:ilvl w:val="0"/>
          <w:numId w:val="4"/>
        </w:numPr>
        <w:tabs>
          <w:tab w:val="clear" w:pos="720"/>
          <w:tab w:val="left" w:pos="1260" w:leader="none"/>
        </w:tabs>
        <w:spacing w:before="120" w:after="0"/>
        <w:jc w:val="both"/>
        <w:rPr/>
      </w:pPr>
      <w:r>
        <w:rPr/>
        <w:t>NG Resources/Project Crescendo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Closed equity; production payment closed 11/10/00</w:t>
      </w:r>
    </w:p>
    <w:p>
      <w:pPr>
        <w:pStyle w:val="Normal"/>
        <w:keepNext w:val="true"/>
        <w:keepLines/>
        <w:numPr>
          <w:ilvl w:val="0"/>
          <w:numId w:val="4"/>
        </w:numPr>
        <w:tabs>
          <w:tab w:val="clear" w:pos="720"/>
          <w:tab w:val="left" w:pos="1260" w:leader="none"/>
        </w:tabs>
        <w:spacing w:before="120" w:after="0"/>
        <w:jc w:val="both"/>
        <w:rPr/>
      </w:pPr>
      <w:r>
        <w:rPr/>
        <w:t>QF Restructurings – Continue to work on a variety of QF restructurings</w:t>
      </w:r>
    </w:p>
    <w:p>
      <w:pPr>
        <w:pStyle w:val="Normal"/>
        <w:keepNext w:val="true"/>
        <w:keepLines/>
        <w:tabs>
          <w:tab w:val="clear" w:pos="720"/>
          <w:tab w:val="left" w:pos="1080" w:leader="none"/>
          <w:tab w:val="left" w:pos="1260" w:leader="none"/>
        </w:tabs>
        <w:ind w:start="720" w:end="0"/>
        <w:jc w:val="both"/>
        <w:rPr/>
      </w:pPr>
      <w:r>
        <w:rPr/>
        <w:tab/>
        <w:t>-</w:t>
        <w:tab/>
        <w:t>Dan Lyons</w:t>
      </w:r>
    </w:p>
    <w:p>
      <w:pPr>
        <w:pStyle w:val="Normal"/>
        <w:keepNext w:val="true"/>
        <w:keepLines/>
        <w:tabs>
          <w:tab w:val="clear" w:pos="720"/>
          <w:tab w:val="left" w:pos="1080" w:leader="none"/>
          <w:tab w:val="left" w:pos="1260" w:leader="none"/>
        </w:tabs>
        <w:ind w:hanging="1440" w:start="2160" w:end="0"/>
        <w:jc w:val="both"/>
        <w:rPr/>
      </w:pPr>
      <w:r>
        <w:rPr/>
        <w:tab/>
        <w:t>-</w:t>
        <w:tab/>
        <w:t>Update:</w:t>
        <w:tab/>
        <w:t>Transactions at varying stages of completion</w:t>
      </w:r>
    </w:p>
    <w:p>
      <w:pPr>
        <w:pStyle w:val="Normal"/>
        <w:keepNext w:val="true"/>
        <w:keepLines/>
        <w:numPr>
          <w:ilvl w:val="0"/>
          <w:numId w:val="4"/>
        </w:numPr>
        <w:tabs>
          <w:tab w:val="clear" w:pos="720"/>
          <w:tab w:val="left" w:pos="1260" w:leader="none"/>
        </w:tabs>
        <w:spacing w:before="120" w:after="0"/>
        <w:jc w:val="both"/>
        <w:rPr/>
      </w:pPr>
      <w:r>
        <w:rPr/>
        <w:t>Acquisition and Disposition Transactions – Continue to work on a variety of transactions, including acquisitions of companies owning interests in power generation facilities</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Lance Schuler/Lou Stoler</w:t>
      </w:r>
    </w:p>
    <w:p>
      <w:pPr>
        <w:pStyle w:val="BodyText"/>
        <w:keepNext w:val="true"/>
        <w:keepLines/>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Project INGA (Lou Stoler) in documentation; other transactions in varying states of completion</w:t>
      </w:r>
    </w:p>
    <w:p>
      <w:pPr>
        <w:pStyle w:val="Normal"/>
        <w:keepNext w:val="true"/>
        <w:keepLines/>
        <w:numPr>
          <w:ilvl w:val="0"/>
          <w:numId w:val="4"/>
        </w:numPr>
        <w:tabs>
          <w:tab w:val="clear" w:pos="720"/>
          <w:tab w:val="left" w:pos="1260" w:leader="none"/>
        </w:tabs>
        <w:spacing w:before="120" w:after="0"/>
        <w:jc w:val="both"/>
        <w:rPr/>
      </w:pPr>
      <w:r>
        <w:rPr/>
        <w:t>HEOF II Matters – Continue to work on investments by HEOF II in various minority-owned businesses</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Jim Grace</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Transactions at varying stages of completion</w:t>
      </w:r>
    </w:p>
    <w:p>
      <w:pPr>
        <w:pStyle w:val="Normal"/>
        <w:keepNext w:val="true"/>
        <w:keepLines/>
        <w:numPr>
          <w:ilvl w:val="0"/>
          <w:numId w:val="4"/>
        </w:numPr>
        <w:tabs>
          <w:tab w:val="clear" w:pos="720"/>
          <w:tab w:val="left" w:pos="1260" w:leader="none"/>
        </w:tabs>
        <w:spacing w:before="120" w:after="0"/>
        <w:jc w:val="both"/>
        <w:rPr/>
      </w:pPr>
      <w:r>
        <w:rPr/>
        <w:t>Production Payments – Variety of transactions involving production payments</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Transactions at varying stages of completion</w:t>
      </w:r>
    </w:p>
    <w:p>
      <w:pPr>
        <w:pStyle w:val="Normal"/>
        <w:keepNext w:val="true"/>
        <w:keepLines/>
        <w:numPr>
          <w:ilvl w:val="0"/>
          <w:numId w:val="4"/>
        </w:numPr>
        <w:tabs>
          <w:tab w:val="clear" w:pos="720"/>
          <w:tab w:val="left" w:pos="1260" w:leader="none"/>
        </w:tabs>
        <w:spacing w:before="120" w:after="0"/>
        <w:jc w:val="both"/>
        <w:rPr/>
      </w:pPr>
      <w:r>
        <w:rPr/>
        <w:t>Merchant Portfolio Matters – Continued dispositions and monetizations of the ENA Merchant Portfolio including transfers of assets to Condor vehicle (Project Velocity) and sales/restructurings of special assets</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McCullough/Lisa Mellencamp</w:t>
      </w:r>
    </w:p>
    <w:p>
      <w:pPr>
        <w:pStyle w:val="Normal"/>
        <w:keepNext w:val="true"/>
        <w:keepLines/>
        <w:numPr>
          <w:ilvl w:val="0"/>
          <w:numId w:val="4"/>
        </w:numPr>
        <w:tabs>
          <w:tab w:val="clear" w:pos="720"/>
          <w:tab w:val="left" w:pos="1260" w:leader="none"/>
        </w:tabs>
        <w:spacing w:before="120" w:after="0"/>
        <w:jc w:val="both"/>
        <w:rPr/>
      </w:pPr>
      <w:r>
        <w:rPr/>
        <w:t>Strategic Investments – investment in AIG-sponsored LLC; EMIC and EEC have first option to provide energy related services to project companies invested in by LLC</w:t>
      </w:r>
    </w:p>
    <w:p>
      <w:pPr>
        <w:pStyle w:val="BodyText"/>
        <w:keepNext w:val="true"/>
        <w:keepLines/>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Angela Davis</w:t>
      </w:r>
    </w:p>
    <w:p>
      <w:pPr>
        <w:pStyle w:val="Heading4"/>
        <w:keepLines/>
        <w:tabs>
          <w:tab w:val="clear" w:pos="720"/>
          <w:tab w:val="left" w:pos="1344" w:leader="none"/>
          <w:tab w:val="left" w:pos="5106" w:leader="none"/>
          <w:tab w:val="left" w:pos="7254" w:leader="none"/>
        </w:tabs>
        <w:spacing w:before="240" w:after="0"/>
        <w:ind w:hanging="0" w:start="0"/>
        <w:rPr/>
      </w:pPr>
      <w:r>
        <w:rPr/>
        <w:t>LITIGATION</w:t>
      </w:r>
    </w:p>
    <w:p>
      <w:pPr>
        <w:pStyle w:val="Normal"/>
        <w:keepNext w:val="true"/>
        <w:keepLines/>
        <w:jc w:val="both"/>
        <w:rPr>
          <w:i/>
          <w:i/>
          <w:u w:val="single"/>
        </w:rPr>
      </w:pPr>
      <w:r>
        <w:rPr>
          <w:i/>
          <w:u w:val="single"/>
        </w:rPr>
      </w:r>
      <w:bookmarkStart w:id="0" w:name="StartOfMemo"/>
      <w:bookmarkStart w:id="1" w:name="StartOfMemo"/>
      <w:bookmarkEnd w:id="1"/>
    </w:p>
    <w:p>
      <w:pPr>
        <w:pStyle w:val="BodyText"/>
        <w:keepNext w:val="true"/>
        <w:keepLines/>
        <w:rPr>
          <w:rFonts w:ascii="Times New Roman" w:hAnsi="Times New Roman" w:cs="Times New Roman"/>
          <w:iCs/>
          <w:sz w:val="24"/>
        </w:rPr>
      </w:pPr>
      <w:r>
        <w:rPr>
          <w:rFonts w:cs="Times New Roman" w:ascii="Times New Roman" w:hAnsi="Times New Roman"/>
          <w:iCs/>
          <w:sz w:val="24"/>
        </w:rPr>
        <w:t>(Text of “Status of ENA Litigation” Report to Mark Haedicke dated November 8, 2000)</w:t>
      </w:r>
    </w:p>
    <w:p>
      <w:pPr>
        <w:pStyle w:val="Normal"/>
        <w:keepNext w:val="true"/>
        <w:keepLines/>
        <w:jc w:val="both"/>
        <w:rPr>
          <w:rFonts w:ascii="Times New Roman" w:hAnsi="Times New Roman" w:cs="Times New Roman"/>
          <w:i/>
          <w:i/>
          <w:iCs/>
          <w:sz w:val="24"/>
          <w:u w:val="single"/>
        </w:rPr>
      </w:pPr>
      <w:r>
        <w:rPr>
          <w:rFonts w:cs="Times New Roman"/>
          <w:i/>
          <w:iCs/>
          <w:sz w:val="24"/>
          <w:u w:val="single"/>
        </w:rPr>
      </w:r>
    </w:p>
    <w:p>
      <w:pPr>
        <w:pStyle w:val="Body"/>
        <w:keepNext w:val="true"/>
        <w:keepLines/>
        <w:ind w:start="0" w:end="0"/>
        <w:rPr>
          <w:rFonts w:ascii="Times New Roman" w:hAnsi="Times New Roman" w:cs="Times New Roman"/>
          <w:b/>
          <w:sz w:val="24"/>
        </w:rPr>
      </w:pPr>
      <w:r>
        <w:rPr>
          <w:rFonts w:cs="Times New Roman" w:ascii="Times New Roman" w:hAnsi="Times New Roman"/>
          <w:b/>
          <w:sz w:val="24"/>
        </w:rPr>
        <w:t>ACTIVE LITIGATION</w:t>
      </w:r>
    </w:p>
    <w:p>
      <w:pPr>
        <w:pStyle w:val="Body"/>
        <w:keepNext w:val="true"/>
        <w:keepLines/>
        <w:ind w:start="0" w:end="0"/>
        <w:rPr>
          <w:rFonts w:ascii="Times New Roman" w:hAnsi="Times New Roman" w:cs="Times New Roman"/>
          <w:b/>
          <w:sz w:val="24"/>
          <w:u w:val="single"/>
        </w:rPr>
      </w:pPr>
      <w:r>
        <w:rPr>
          <w:rFonts w:cs="Times New Roman" w:ascii="Times New Roman" w:hAnsi="Times New Roman"/>
          <w:b/>
          <w:sz w:val="24"/>
          <w:u w:val="single"/>
        </w:rPr>
      </w:r>
    </w:p>
    <w:p>
      <w:pPr>
        <w:pStyle w:val="Heading7"/>
        <w:keepLines/>
        <w:ind w:hanging="0" w:start="0"/>
        <w:rPr>
          <w:rFonts w:ascii="Times New Roman" w:hAnsi="Times New Roman" w:cs="Times New Roman"/>
          <w:bCs/>
          <w:sz w:val="24"/>
        </w:rPr>
      </w:pPr>
      <w:r>
        <w:rPr>
          <w:rFonts w:cs="Times New Roman" w:ascii="Times New Roman" w:hAnsi="Times New Roman"/>
          <w:bCs/>
          <w:sz w:val="24"/>
        </w:rPr>
        <w:t>Dow Waiver Litigation</w:t>
      </w:r>
    </w:p>
    <w:p>
      <w:pPr>
        <w:pStyle w:val="Normal"/>
        <w:keepNext w:val="true"/>
        <w:keepLines/>
        <w:jc w:val="both"/>
        <w:rPr/>
      </w:pPr>
      <w:r>
        <w:rPr/>
        <w:t>(Houston state court) (Susman Godfrey/Bracewell &amp; Patterson) (Vinson &amp; Elkins)</w:t>
      </w:r>
    </w:p>
    <w:p>
      <w:pPr>
        <w:pStyle w:val="Normal"/>
        <w:keepNext w:val="true"/>
        <w:keepLines/>
        <w:jc w:val="both"/>
        <w:rPr/>
      </w:pPr>
      <w:r>
        <w:rPr/>
      </w:r>
    </w:p>
    <w:p>
      <w:pPr>
        <w:pStyle w:val="Normal"/>
        <w:keepNext w:val="true"/>
        <w:keepLines/>
        <w:numPr>
          <w:ilvl w:val="0"/>
          <w:numId w:val="23"/>
        </w:numPr>
        <w:ind w:hanging="360" w:start="720" w:end="0"/>
        <w:jc w:val="both"/>
        <w:rPr/>
      </w:pPr>
      <w:r>
        <w:rPr/>
        <w:t>Plaintiffs have filed a class action alleging that Houston Pipeline failed to take ratably from gas wells in West Texas.</w:t>
      </w:r>
    </w:p>
    <w:p>
      <w:pPr>
        <w:pStyle w:val="Normal"/>
        <w:numPr>
          <w:ilvl w:val="0"/>
          <w:numId w:val="23"/>
        </w:numPr>
        <w:ind w:hanging="360" w:start="720" w:end="0"/>
        <w:jc w:val="both"/>
        <w:rPr/>
      </w:pPr>
      <w:r>
        <w:rPr/>
        <w:t>Plaintiffs allege $466 million in damages</w:t>
      </w:r>
    </w:p>
    <w:p>
      <w:pPr>
        <w:pStyle w:val="Normal"/>
        <w:numPr>
          <w:ilvl w:val="0"/>
          <w:numId w:val="23"/>
        </w:numPr>
        <w:ind w:hanging="360" w:start="720" w:end="0"/>
        <w:jc w:val="both"/>
        <w:rPr/>
      </w:pPr>
      <w:r>
        <w:rPr/>
        <w:t>Our preliminary damage model indicates damages of $60 - $160 million if Plaintiffs recover on their claim.</w:t>
      </w:r>
    </w:p>
    <w:p>
      <w:pPr>
        <w:pStyle w:val="Normal"/>
        <w:numPr>
          <w:ilvl w:val="0"/>
          <w:numId w:val="23"/>
        </w:numPr>
        <w:ind w:hanging="360" w:start="720" w:end="0"/>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23"/>
        </w:numPr>
        <w:ind w:hanging="360" w:start="720" w:end="0"/>
        <w:jc w:val="both"/>
        <w:rPr/>
      </w:pPr>
      <w:r>
        <w:rPr/>
        <w:t>The trial is expected within 12-24 months.</w:t>
      </w:r>
    </w:p>
    <w:p>
      <w:pPr>
        <w:pStyle w:val="Normal"/>
        <w:numPr>
          <w:ilvl w:val="0"/>
          <w:numId w:val="23"/>
        </w:numPr>
        <w:ind w:hanging="360" w:start="720" w:end="0"/>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23"/>
        </w:numPr>
        <w:ind w:hanging="360" w:start="720" w:end="0"/>
        <w:jc w:val="both"/>
        <w:rPr>
          <w:b/>
          <w:bCs/>
        </w:rPr>
      </w:pPr>
      <w:r>
        <w:rPr>
          <w:b/>
          <w:bCs/>
        </w:rPr>
        <w:t>The Plaintiffs motion for a rehearing was heard on October 31, 2000.  The Court will issue a ruling shortly.</w:t>
      </w:r>
    </w:p>
    <w:p>
      <w:pPr>
        <w:pStyle w:val="Normal"/>
        <w:ind w:start="720" w:end="0"/>
        <w:jc w:val="both"/>
        <w:rPr/>
      </w:pPr>
      <w:r>
        <w:rPr/>
        <w:t xml:space="preserve"> </w:t>
      </w:r>
    </w:p>
    <w:p>
      <w:pPr>
        <w:pStyle w:val="Normal"/>
        <w:ind w:start="720" w:end="0"/>
        <w:jc w:val="both"/>
        <w:rPr/>
      </w:pPr>
      <w:r>
        <w:rPr/>
      </w:r>
    </w:p>
    <w:p>
      <w:pPr>
        <w:pStyle w:val="Heading1"/>
        <w:tabs>
          <w:tab w:val="clear" w:pos="720"/>
          <w:tab w:val="left" w:pos="5106" w:leader="none"/>
          <w:tab w:val="left" w:pos="7254" w:leader="none"/>
        </w:tabs>
        <w:ind w:start="0" w:end="0"/>
        <w:rPr>
          <w:i/>
          <w:i/>
          <w:iCs/>
          <w:sz w:val="24"/>
        </w:rPr>
      </w:pPr>
      <w:r>
        <w:rPr>
          <w:i/>
          <w:iCs/>
          <w:sz w:val="24"/>
        </w:rPr>
        <w:t>CATS Litigation</w:t>
      </w:r>
    </w:p>
    <w:p>
      <w:pPr>
        <w:pStyle w:val="Normal"/>
        <w:jc w:val="both"/>
        <w:rPr/>
      </w:pPr>
      <w:r>
        <w:rPr/>
        <w:t>(London Commercial Court) (Norton Rose)</w:t>
      </w:r>
    </w:p>
    <w:p>
      <w:pPr>
        <w:pStyle w:val="Normal"/>
        <w:jc w:val="both"/>
        <w:rPr/>
      </w:pPr>
      <w:r>
        <w:rPr/>
      </w:r>
    </w:p>
    <w:p>
      <w:pPr>
        <w:pStyle w:val="Normal"/>
        <w:numPr>
          <w:ilvl w:val="0"/>
          <w:numId w:val="23"/>
        </w:numPr>
        <w:ind w:hanging="360" w:start="720" w:end="0"/>
        <w:jc w:val="both"/>
        <w:rPr/>
      </w:pPr>
      <w:r>
        <w:rPr/>
        <w:t>On Friday, July 30th the appellate court reversed the lower court ruling and ordered the CATS parties to repay Enron approximately $130 million.</w:t>
      </w:r>
    </w:p>
    <w:p>
      <w:pPr>
        <w:pStyle w:val="Normal"/>
        <w:numPr>
          <w:ilvl w:val="0"/>
          <w:numId w:val="23"/>
        </w:numPr>
        <w:ind w:hanging="360" w:start="720" w:end="0"/>
        <w:jc w:val="both"/>
        <w:rPr/>
      </w:pPr>
      <w:r>
        <w:rPr/>
        <w:t>An appeal to the House of Lords was filed on or about September 1, 1999.</w:t>
      </w:r>
    </w:p>
    <w:p>
      <w:pPr>
        <w:pStyle w:val="Normal"/>
        <w:numPr>
          <w:ilvl w:val="0"/>
          <w:numId w:val="23"/>
        </w:numPr>
        <w:ind w:hanging="360" w:start="720" w:end="0"/>
        <w:jc w:val="both"/>
        <w:rPr/>
      </w:pPr>
      <w:r>
        <w:rPr/>
        <w:t xml:space="preserve">The House of Lords granted the CATS parties request to hear the entire appeal of the appellate court’s ruling.  </w:t>
      </w:r>
      <w:r>
        <w:rPr>
          <w:b/>
          <w:bCs/>
        </w:rPr>
        <w:t>The appeal is scheduled to be heard on March 12, 2001.</w:t>
      </w:r>
    </w:p>
    <w:p>
      <w:pPr>
        <w:pStyle w:val="Normal"/>
        <w:numPr>
          <w:ilvl w:val="0"/>
          <w:numId w:val="0"/>
        </w:numPr>
        <w:ind w:hanging="0" w:start="720" w:end="0"/>
        <w:jc w:val="both"/>
        <w:rPr/>
      </w:pPr>
      <w:r>
        <w:rPr/>
      </w:r>
    </w:p>
    <w:p>
      <w:pPr>
        <w:pStyle w:val="Heading1"/>
        <w:numPr>
          <w:ilvl w:val="0"/>
          <w:numId w:val="0"/>
        </w:numPr>
        <w:ind w:hanging="0" w:start="0"/>
        <w:rPr>
          <w:i/>
          <w:i/>
          <w:iCs/>
          <w:sz w:val="24"/>
        </w:rPr>
      </w:pPr>
      <w:r>
        <w:rPr>
          <w:i/>
          <w:iCs/>
          <w:sz w:val="24"/>
        </w:rPr>
        <w:t>Enron Power Marketing, Inc. v. Tennessee Valley Authority</w:t>
      </w:r>
    </w:p>
    <w:p>
      <w:pPr>
        <w:pStyle w:val="Normal"/>
        <w:numPr>
          <w:ilvl w:val="0"/>
          <w:numId w:val="0"/>
        </w:numPr>
        <w:ind w:hanging="0" w:start="0"/>
        <w:jc w:val="both"/>
        <w:rPr/>
      </w:pPr>
      <w:r>
        <w:rPr/>
        <w:t>(Tennessee Federal District Court) (Gibbs &amp; Bruns)</w:t>
      </w:r>
    </w:p>
    <w:p>
      <w:pPr>
        <w:pStyle w:val="Normal"/>
        <w:numPr>
          <w:ilvl w:val="0"/>
          <w:numId w:val="0"/>
        </w:numPr>
        <w:ind w:hanging="0" w:start="0"/>
        <w:jc w:val="both"/>
        <w:rPr>
          <w:i/>
          <w:i/>
          <w:u w:val="single"/>
        </w:rPr>
      </w:pPr>
      <w:r>
        <w:rPr>
          <w:i/>
          <w:u w:val="single"/>
        </w:rPr>
      </w:r>
    </w:p>
    <w:p>
      <w:pPr>
        <w:pStyle w:val="Normal"/>
        <w:numPr>
          <w:ilvl w:val="0"/>
          <w:numId w:val="23"/>
        </w:numPr>
        <w:ind w:hanging="360" w:start="720" w:end="0"/>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23"/>
        </w:numPr>
        <w:ind w:hanging="360" w:start="720" w:end="0"/>
        <w:jc w:val="both"/>
        <w:rPr/>
      </w:pPr>
      <w:r>
        <w:rPr/>
        <w:t>On January 27, 2000, EPMI terminated the MOPA.</w:t>
      </w:r>
    </w:p>
    <w:p>
      <w:pPr>
        <w:pStyle w:val="Normal"/>
        <w:numPr>
          <w:ilvl w:val="0"/>
          <w:numId w:val="23"/>
        </w:numPr>
        <w:ind w:hanging="360" w:start="720" w:end="0"/>
        <w:jc w:val="both"/>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23"/>
        </w:numPr>
        <w:ind w:hanging="360" w:start="720" w:end="0"/>
        <w:jc w:val="both"/>
        <w:rPr/>
      </w:pPr>
      <w:r>
        <w:rPr/>
        <w:t>On March 5, TVA filed an answer and counterclaim.  In its counterclaim, TVA requests monetary damages and injunctive relief for EPMI’s breach of the MOPA.</w:t>
      </w:r>
    </w:p>
    <w:p>
      <w:pPr>
        <w:pStyle w:val="Normal"/>
        <w:numPr>
          <w:ilvl w:val="0"/>
          <w:numId w:val="23"/>
        </w:numPr>
        <w:jc w:val="both"/>
        <w:rPr/>
      </w:pPr>
      <w:r>
        <w:rPr/>
        <w:t xml:space="preserve">The case is set for trial on October 12, 2001. </w:t>
      </w:r>
    </w:p>
    <w:p>
      <w:pPr>
        <w:pStyle w:val="Normal"/>
        <w:keepLines/>
        <w:ind w:start="720" w:end="0"/>
        <w:jc w:val="both"/>
        <w:rPr/>
      </w:pPr>
      <w:r>
        <w:rPr/>
      </w:r>
    </w:p>
    <w:p>
      <w:pPr>
        <w:pStyle w:val="Normal"/>
        <w:keepNext w:val="true"/>
        <w:keepLines/>
        <w:numPr>
          <w:ilvl w:val="0"/>
          <w:numId w:val="0"/>
        </w:numPr>
        <w:ind w:hanging="0" w:start="0"/>
        <w:jc w:val="both"/>
        <w:rPr>
          <w:b/>
          <w:bCs/>
        </w:rPr>
      </w:pPr>
      <w:r>
        <w:rPr>
          <w:b/>
          <w:bCs/>
          <w:i/>
          <w:u w:val="single"/>
        </w:rPr>
        <w:t>Glatzer v. Enron Corp. and Enron Finance Corp.</w:t>
      </w:r>
    </w:p>
    <w:p>
      <w:pPr>
        <w:pStyle w:val="BodyText"/>
        <w:keepNext w:val="true"/>
        <w:keepLines/>
        <w:numPr>
          <w:ilvl w:val="0"/>
          <w:numId w:val="0"/>
        </w:numPr>
        <w:ind w:hanging="0" w:start="0"/>
        <w:rPr>
          <w:rFonts w:ascii="Times New Roman" w:hAnsi="Times New Roman" w:cs="Times New Roman"/>
          <w:sz w:val="24"/>
        </w:rPr>
      </w:pPr>
      <w:r>
        <w:rPr>
          <w:rFonts w:cs="Times New Roman" w:ascii="Times New Roman" w:hAnsi="Times New Roman"/>
          <w:sz w:val="24"/>
        </w:rPr>
        <w:t>(New York state court) (Susman Godfrey)</w:t>
      </w:r>
    </w:p>
    <w:p>
      <w:pPr>
        <w:pStyle w:val="Normal"/>
        <w:keepNext w:val="true"/>
        <w:keepLines/>
        <w:numPr>
          <w:ilvl w:val="0"/>
          <w:numId w:val="0"/>
        </w:numPr>
        <w:ind w:hanging="0" w:start="0"/>
        <w:jc w:val="both"/>
        <w:rPr>
          <w:rFonts w:ascii="Times New Roman" w:hAnsi="Times New Roman" w:cs="Times New Roman"/>
          <w:sz w:val="24"/>
        </w:rPr>
      </w:pPr>
      <w:r>
        <w:rPr>
          <w:rFonts w:cs="Times New Roman"/>
          <w:sz w:val="24"/>
        </w:rPr>
      </w:r>
    </w:p>
    <w:p>
      <w:pPr>
        <w:pStyle w:val="Normal"/>
        <w:keepNext w:val="true"/>
        <w:keepLines/>
        <w:numPr>
          <w:ilvl w:val="0"/>
          <w:numId w:val="23"/>
        </w:numPr>
        <w:ind w:hanging="360" w:start="720" w:end="0"/>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23"/>
        </w:numPr>
        <w:ind w:hanging="360" w:start="720" w:end="0"/>
        <w:jc w:val="both"/>
        <w:rPr/>
      </w:pPr>
      <w:r>
        <w:rPr/>
        <w:t>Plaintiff’s damages are unspecified, but he has offered to settle for $1 million</w:t>
      </w:r>
    </w:p>
    <w:p>
      <w:pPr>
        <w:pStyle w:val="Normal"/>
        <w:numPr>
          <w:ilvl w:val="0"/>
          <w:numId w:val="23"/>
        </w:numPr>
        <w:ind w:hanging="360" w:start="720" w:end="0"/>
        <w:jc w:val="both"/>
        <w:rPr/>
      </w:pPr>
      <w:r>
        <w:rPr/>
        <w:t>ECT filed a motion for summary judgement on September 24, 1998.  Plaintiff filed a response on February 6.</w:t>
      </w:r>
    </w:p>
    <w:p>
      <w:pPr>
        <w:pStyle w:val="Normal"/>
        <w:numPr>
          <w:ilvl w:val="0"/>
          <w:numId w:val="23"/>
        </w:numPr>
        <w:ind w:hanging="360" w:start="720" w:end="0"/>
        <w:jc w:val="both"/>
        <w:rPr/>
      </w:pPr>
      <w:r>
        <w:rPr/>
        <w:t xml:space="preserve">On July 14, 1999, the Court granted ECT’s motion for summary judgment. </w:t>
      </w:r>
    </w:p>
    <w:p>
      <w:pPr>
        <w:pStyle w:val="Normal"/>
        <w:numPr>
          <w:ilvl w:val="0"/>
          <w:numId w:val="23"/>
        </w:numPr>
        <w:ind w:hanging="360" w:start="720" w:end="0"/>
        <w:jc w:val="both"/>
        <w:rPr>
          <w:b/>
          <w:bCs/>
          <w:i/>
          <w:i/>
          <w:u w:val="single"/>
        </w:rPr>
      </w:pPr>
      <w:r>
        <w:rPr>
          <w:b/>
          <w:bCs/>
        </w:rPr>
        <w:t>The plaintiff has appealed the judgment and all briefing before the Court of appeals is complete.  A decision is expected by the first quarter of 2001.</w:t>
      </w:r>
    </w:p>
    <w:p>
      <w:pPr>
        <w:pStyle w:val="Normal"/>
        <w:ind w:start="720" w:end="0"/>
        <w:jc w:val="both"/>
        <w:rPr>
          <w:b/>
          <w:bCs/>
          <w:i/>
          <w:i/>
          <w:u w:val="single"/>
        </w:rPr>
      </w:pPr>
      <w:r>
        <w:rPr>
          <w:b/>
          <w:bCs/>
          <w:i/>
          <w:u w:val="single"/>
        </w:rPr>
      </w:r>
    </w:p>
    <w:p>
      <w:pPr>
        <w:pStyle w:val="Normal"/>
        <w:jc w:val="both"/>
        <w:rPr>
          <w:b/>
          <w:bCs/>
        </w:rPr>
      </w:pPr>
      <w:r>
        <w:rPr>
          <w:b/>
          <w:bCs/>
          <w:i/>
          <w:u w:val="single"/>
        </w:rPr>
        <w:t>EnSerCo, L.L.C.v.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23"/>
        </w:numPr>
        <w:ind w:hanging="360" w:start="720" w:end="0"/>
        <w:jc w:val="both"/>
        <w:rPr/>
      </w:pPr>
      <w:r>
        <w:rPr/>
        <w:t>Sam Offshore defaulted on $15,500,000 Promissory Note</w:t>
      </w:r>
    </w:p>
    <w:p>
      <w:pPr>
        <w:pStyle w:val="Normal"/>
        <w:numPr>
          <w:ilvl w:val="0"/>
          <w:numId w:val="23"/>
        </w:numPr>
        <w:ind w:hanging="360" w:start="720" w:end="0"/>
        <w:jc w:val="both"/>
        <w:rPr/>
      </w:pPr>
      <w:r>
        <w:rPr/>
        <w:t>Enserco seized the vessel on October 15, 1999.  The rig is located in Galveston</w:t>
      </w:r>
    </w:p>
    <w:p>
      <w:pPr>
        <w:pStyle w:val="Normal"/>
        <w:numPr>
          <w:ilvl w:val="0"/>
          <w:numId w:val="23"/>
        </w:numPr>
        <w:ind w:hanging="360" w:start="720" w:end="0"/>
        <w:jc w:val="both"/>
        <w:rPr/>
      </w:pPr>
      <w:r>
        <w:rPr/>
        <w:t>In January Enserco filed suit against the guarantors of the Sam Offshore loan.  The guarantors are foreign companies.</w:t>
      </w:r>
    </w:p>
    <w:p>
      <w:pPr>
        <w:pStyle w:val="Normal"/>
        <w:numPr>
          <w:ilvl w:val="0"/>
          <w:numId w:val="23"/>
        </w:numPr>
        <w:ind w:hanging="360" w:start="720" w:end="0"/>
        <w:jc w:val="both"/>
        <w:rPr/>
      </w:pPr>
      <w:r>
        <w:rPr/>
        <w:t>In February, Enserco purchased the rig in a judicial foreclosure sale for $1 million.  We are attempting to sell this rig.</w:t>
      </w:r>
    </w:p>
    <w:p>
      <w:pPr>
        <w:pStyle w:val="Normal"/>
        <w:numPr>
          <w:ilvl w:val="0"/>
          <w:numId w:val="23"/>
        </w:numPr>
        <w:ind w:hanging="360" w:start="720" w:end="0"/>
        <w:jc w:val="both"/>
        <w:rPr/>
      </w:pPr>
      <w:r>
        <w:rPr/>
        <w:t>On June 9th, this case was called to trial.  Prior to the trial, the defendants agreed to a deficiency judgment in favor of Enserco.  Enserco agreed to dismiss fraudulent transfer claims against two defendants.</w:t>
      </w:r>
    </w:p>
    <w:p>
      <w:pPr>
        <w:pStyle w:val="Normal"/>
        <w:numPr>
          <w:ilvl w:val="0"/>
          <w:numId w:val="23"/>
        </w:numPr>
        <w:ind w:hanging="360" w:start="720" w:end="0"/>
        <w:jc w:val="both"/>
        <w:rPr/>
      </w:pPr>
      <w:r>
        <w:rPr/>
        <w:t>We will now attempt to collect the deficiency judgment.</w:t>
      </w:r>
    </w:p>
    <w:p>
      <w:pPr>
        <w:pStyle w:val="Normal"/>
        <w:ind w:start="720" w:end="0"/>
        <w:jc w:val="both"/>
        <w:rPr>
          <w:b/>
        </w:rPr>
      </w:pPr>
      <w:r>
        <w:rPr>
          <w:b/>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Nakonthai Strip Mill (NSM) Thailand</w:t>
      </w:r>
    </w:p>
    <w:p>
      <w:pPr>
        <w:pStyle w:val="Subject"/>
        <w:tabs>
          <w:tab w:val="clear" w:pos="720"/>
          <w:tab w:val="left" w:pos="540" w:leader="none"/>
        </w:tabs>
        <w:rPr>
          <w:rFonts w:ascii="Times New Roman" w:hAnsi="Times New Roman" w:cs="Times New Roman"/>
          <w:sz w:val="24"/>
        </w:rPr>
      </w:pPr>
      <w:r>
        <w:rPr>
          <w:rFonts w:cs="Times New Roman" w:ascii="Times New Roman" w:hAnsi="Times New Roman"/>
          <w:sz w:val="24"/>
        </w:rPr>
        <w:t>(Los Angeles State Court) (Millbank, Tweed)</w:t>
      </w:r>
    </w:p>
    <w:p>
      <w:pPr>
        <w:pStyle w:val="Normal"/>
        <w:rPr>
          <w:rFonts w:ascii="Times New Roman" w:hAnsi="Times New Roman" w:cs="Times New Roman"/>
          <w:sz w:val="24"/>
        </w:rPr>
      </w:pPr>
      <w:r>
        <w:rPr>
          <w:rFonts w:cs="Times New Roman"/>
          <w:sz w:val="24"/>
        </w:rPr>
      </w:r>
    </w:p>
    <w:p>
      <w:pPr>
        <w:pStyle w:val="Normal"/>
        <w:numPr>
          <w:ilvl w:val="0"/>
          <w:numId w:val="23"/>
        </w:numPr>
        <w:ind w:hanging="360" w:start="720" w:end="0"/>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23"/>
        </w:numPr>
        <w:ind w:hanging="360" w:start="720" w:end="0"/>
        <w:jc w:val="both"/>
        <w:rPr/>
      </w:pPr>
      <w:r>
        <w:rPr/>
        <w:t>ECT Securities was an underwriter for approximately $25 million of the bonds and may have liability for any misrepresentations contained in the offering memorandum.</w:t>
      </w:r>
    </w:p>
    <w:p>
      <w:pPr>
        <w:pStyle w:val="Normal"/>
        <w:numPr>
          <w:ilvl w:val="0"/>
          <w:numId w:val="23"/>
        </w:numPr>
        <w:ind w:hanging="360" w:start="720" w:end="0"/>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23"/>
        </w:numPr>
        <w:ind w:hanging="360" w:start="720" w:end="0"/>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23"/>
        </w:numPr>
        <w:ind w:hanging="360" w:start="720" w:end="0"/>
        <w:jc w:val="both"/>
        <w:rPr/>
      </w:pPr>
      <w:r>
        <w:rPr/>
        <w:t>ECT Securities has been sued by Farrollan and Legg Mason in Los Angeles State District Court.</w:t>
      </w:r>
    </w:p>
    <w:p>
      <w:pPr>
        <w:pStyle w:val="Normal"/>
        <w:numPr>
          <w:ilvl w:val="0"/>
          <w:numId w:val="23"/>
        </w:numPr>
        <w:ind w:hanging="360" w:start="720" w:end="0"/>
        <w:jc w:val="both"/>
        <w:rPr/>
      </w:pPr>
      <w:r>
        <w:rPr/>
        <w:t>Extensive discovery has been conducted to date.</w:t>
      </w:r>
    </w:p>
    <w:p>
      <w:pPr>
        <w:pStyle w:val="Normal"/>
        <w:rPr/>
      </w:pPr>
      <w:r>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Grynberg</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(Wyoming Federal Court) (Gibbs &amp; Bruns) (Vinson &amp; Elkins)</w:t>
      </w:r>
    </w:p>
    <w:p>
      <w:pPr>
        <w:pStyle w:val="Normal"/>
        <w:ind w:start="720" w:end="0"/>
        <w:jc w:val="both"/>
        <w:rPr>
          <w:rFonts w:ascii="Times New Roman" w:hAnsi="Times New Roman" w:cs="Times New Roman"/>
          <w:sz w:val="24"/>
        </w:rPr>
      </w:pPr>
      <w:r>
        <w:rPr>
          <w:rFonts w:cs="Times New Roman"/>
          <w:sz w:val="24"/>
        </w:rPr>
      </w:r>
    </w:p>
    <w:p>
      <w:pPr>
        <w:pStyle w:val="Normal"/>
        <w:numPr>
          <w:ilvl w:val="0"/>
          <w:numId w:val="23"/>
        </w:numPr>
        <w:ind w:hanging="360" w:start="720" w:end="0"/>
        <w:jc w:val="both"/>
        <w:rPr/>
      </w:pPr>
      <w:r>
        <w:rPr/>
        <w:t>Qui tam action brought against HPL, LRC, and all pipeline companies in America alleging fraudulent practices in the measurement of gas.</w:t>
      </w:r>
    </w:p>
    <w:p>
      <w:pPr>
        <w:pStyle w:val="Normal"/>
        <w:numPr>
          <w:ilvl w:val="0"/>
          <w:numId w:val="23"/>
        </w:numPr>
        <w:ind w:hanging="360" w:start="720" w:end="0"/>
        <w:jc w:val="both"/>
        <w:rPr/>
      </w:pPr>
      <w:r>
        <w:rPr/>
        <w:t>All of the cases have been consolidated in Wyoming.</w:t>
      </w:r>
    </w:p>
    <w:p>
      <w:pPr>
        <w:pStyle w:val="Normal"/>
        <w:numPr>
          <w:ilvl w:val="0"/>
          <w:numId w:val="23"/>
        </w:numPr>
        <w:ind w:hanging="360" w:start="720" w:end="0"/>
        <w:jc w:val="both"/>
        <w:rPr/>
      </w:pPr>
      <w:r>
        <w:rPr/>
        <w:t xml:space="preserve">On March 18,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sz w:val="24"/>
          <w:u w:val="single"/>
        </w:rPr>
      </w:pPr>
      <w:r>
        <w:rPr>
          <w:rFonts w:cs="Times New Roman" w:ascii="Times New Roman" w:hAnsi="Times New Roman"/>
          <w:sz w:val="24"/>
          <w:u w:val="single"/>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Qunique Case</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(Kansas State &amp; Federal Court) (Gibbs &amp; Bruns) (Vinson &amp; Elkins)</w:t>
      </w:r>
    </w:p>
    <w:p>
      <w:pPr>
        <w:pStyle w:val="Normal"/>
        <w:ind w:start="720" w:end="0"/>
        <w:jc w:val="both"/>
        <w:rPr>
          <w:rFonts w:ascii="Times New Roman" w:hAnsi="Times New Roman" w:cs="Times New Roman"/>
          <w:sz w:val="24"/>
        </w:rPr>
      </w:pPr>
      <w:r>
        <w:rPr>
          <w:rFonts w:cs="Times New Roman"/>
          <w:sz w:val="24"/>
        </w:rPr>
      </w:r>
    </w:p>
    <w:p>
      <w:pPr>
        <w:pStyle w:val="Normal"/>
        <w:numPr>
          <w:ilvl w:val="0"/>
          <w:numId w:val="23"/>
        </w:numPr>
        <w:ind w:hanging="360" w:start="720" w:end="0"/>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23"/>
        </w:numPr>
        <w:ind w:hanging="360" w:start="720" w:end="0"/>
        <w:jc w:val="both"/>
        <w:rPr/>
      </w:pPr>
      <w:r>
        <w:rPr/>
        <w:t>Enron removed the case to the Federal District Court of Kansas City alleging Federal Question jurisdiction.</w:t>
      </w:r>
    </w:p>
    <w:p>
      <w:pPr>
        <w:pStyle w:val="Normal"/>
        <w:numPr>
          <w:ilvl w:val="0"/>
          <w:numId w:val="23"/>
        </w:numPr>
        <w:ind w:hanging="360" w:start="720" w:end="0"/>
        <w:jc w:val="both"/>
        <w:rPr/>
      </w:pPr>
      <w:r>
        <w:rPr/>
        <w:t>Plaintiffs have filed a motion to remand to State District Court.</w:t>
      </w:r>
    </w:p>
    <w:p>
      <w:pPr>
        <w:pStyle w:val="Normal"/>
        <w:numPr>
          <w:ilvl w:val="0"/>
          <w:numId w:val="23"/>
        </w:numPr>
        <w:ind w:hanging="360" w:start="720" w:end="0"/>
        <w:jc w:val="both"/>
        <w:rPr/>
      </w:pPr>
      <w:r>
        <w:rPr/>
        <w:t xml:space="preserve">All proceedings have been stayed pending the Court’s consideration of the motion to remand. </w:t>
      </w:r>
    </w:p>
    <w:p>
      <w:pPr>
        <w:pStyle w:val="Normal"/>
        <w:numPr>
          <w:ilvl w:val="0"/>
          <w:numId w:val="23"/>
        </w:numPr>
        <w:ind w:hanging="360" w:start="720" w:end="0"/>
        <w:jc w:val="both"/>
        <w:rPr/>
      </w:pPr>
      <w:r>
        <w:rPr/>
        <w:t xml:space="preserve">On April 12th, the Multi-District Litigation Panel transferred this action to the Federal District Court in Wyoming. </w:t>
      </w:r>
    </w:p>
    <w:p>
      <w:pPr>
        <w:pStyle w:val="Normal"/>
        <w:numPr>
          <w:ilvl w:val="0"/>
          <w:numId w:val="23"/>
        </w:numPr>
        <w:ind w:hanging="360" w:start="720" w:end="0"/>
        <w:jc w:val="both"/>
        <w:rPr/>
      </w:pPr>
      <w:r>
        <w:rPr/>
        <w:t>The defendants have filed Rule 9b and 12b motions to dismiss.  The Court has not yet issued a decision.</w:t>
      </w:r>
    </w:p>
    <w:p>
      <w:pPr>
        <w:pStyle w:val="Normal"/>
        <w:ind w:start="720" w:end="0"/>
        <w:jc w:val="both"/>
        <w:rPr>
          <w:b/>
          <w:bCs/>
        </w:rPr>
      </w:pPr>
      <w:r>
        <w:rPr>
          <w:b/>
          <w:bCs/>
        </w:rPr>
      </w:r>
    </w:p>
    <w:p>
      <w:pPr>
        <w:pStyle w:val="Heading1"/>
        <w:tabs>
          <w:tab w:val="clear" w:pos="720"/>
          <w:tab w:val="left" w:pos="5106" w:leader="none"/>
          <w:tab w:val="left" w:pos="7254" w:leader="none"/>
        </w:tabs>
        <w:ind w:start="0" w:end="0"/>
        <w:rPr>
          <w:i/>
          <w:i/>
          <w:iCs/>
          <w:sz w:val="24"/>
        </w:rPr>
      </w:pPr>
      <w:r>
        <w:rPr>
          <w:i/>
          <w:iCs/>
          <w:sz w:val="24"/>
        </w:rPr>
        <w:t>Enron Power Marketing v. Calpine Corp.</w:t>
      </w:r>
    </w:p>
    <w:p>
      <w:pPr>
        <w:pStyle w:val="Normal"/>
        <w:jc w:val="both"/>
        <w:rPr/>
      </w:pPr>
      <w:r>
        <w:rPr/>
        <w:t>(Houston Federal District Court) (Bill Ogden)</w:t>
      </w:r>
    </w:p>
    <w:p>
      <w:pPr>
        <w:pStyle w:val="Normal"/>
        <w:jc w:val="both"/>
        <w:rPr/>
      </w:pPr>
      <w:r>
        <w:rPr/>
      </w:r>
    </w:p>
    <w:p>
      <w:pPr>
        <w:pStyle w:val="Normal"/>
        <w:numPr>
          <w:ilvl w:val="0"/>
          <w:numId w:val="23"/>
        </w:numPr>
        <w:ind w:hanging="360" w:start="720" w:end="0"/>
        <w:jc w:val="both"/>
        <w:rPr/>
      </w:pPr>
      <w:r>
        <w:rPr/>
        <w:t>EPMI filed a lawsuit against Calpine alleging that Calpine breached its contract with EPMI to assume certain power contracts  EPMI had with the Lower Colorado River Authority.</w:t>
      </w:r>
    </w:p>
    <w:p>
      <w:pPr>
        <w:pStyle w:val="Normal"/>
        <w:numPr>
          <w:ilvl w:val="0"/>
          <w:numId w:val="23"/>
        </w:numPr>
        <w:ind w:hanging="360" w:start="720" w:end="0"/>
        <w:jc w:val="both"/>
        <w:rPr/>
      </w:pPr>
      <w:r>
        <w:rPr/>
        <w:t>EPMI's damages will depend on the cost of covering Calpine's position.  The damages are estimated to be $2.4-7.2 million.</w:t>
      </w:r>
    </w:p>
    <w:p>
      <w:pPr>
        <w:pStyle w:val="Normal"/>
        <w:numPr>
          <w:ilvl w:val="0"/>
          <w:numId w:val="23"/>
        </w:numPr>
        <w:ind w:hanging="360" w:start="720" w:end="0"/>
        <w:jc w:val="both"/>
        <w:rPr/>
      </w:pPr>
      <w:r>
        <w:rPr/>
        <w:t>On March 6, 2000, Calpine filed an answer and removed this case to Federal Court.  The preliminary hearing before the court is scheduled on July 21st.</w:t>
      </w:r>
    </w:p>
    <w:p>
      <w:pPr>
        <w:pStyle w:val="Normal"/>
        <w:numPr>
          <w:ilvl w:val="0"/>
          <w:numId w:val="23"/>
        </w:numPr>
        <w:ind w:hanging="360" w:start="720" w:end="0"/>
        <w:jc w:val="both"/>
        <w:rPr>
          <w:bCs/>
        </w:rPr>
      </w:pPr>
      <w:r>
        <w:rPr/>
        <w:t>Discovery is proceeding</w:t>
      </w:r>
      <w:r>
        <w:rPr>
          <w:bCs/>
        </w:rPr>
        <w:t>.</w:t>
      </w:r>
    </w:p>
    <w:p>
      <w:pPr>
        <w:pStyle w:val="Normal"/>
        <w:jc w:val="both"/>
        <w:rPr>
          <w:bCs/>
        </w:rPr>
      </w:pPr>
      <w:r>
        <w:rPr>
          <w:bCs/>
        </w:rPr>
      </w:r>
    </w:p>
    <w:p>
      <w:pPr>
        <w:pStyle w:val="Heading1"/>
        <w:tabs>
          <w:tab w:val="clear" w:pos="720"/>
          <w:tab w:val="left" w:pos="5106" w:leader="none"/>
          <w:tab w:val="left" w:pos="7254" w:leader="none"/>
        </w:tabs>
        <w:ind w:start="0" w:end="0"/>
        <w:rPr>
          <w:i/>
          <w:i/>
          <w:iCs/>
          <w:sz w:val="24"/>
        </w:rPr>
      </w:pPr>
      <w:r>
        <w:rPr>
          <w:i/>
          <w:iCs/>
          <w:sz w:val="24"/>
        </w:rPr>
        <w:t>PCA v. Enron Power Marketing</w:t>
      </w:r>
    </w:p>
    <w:p>
      <w:pPr>
        <w:pStyle w:val="Normal"/>
        <w:jc w:val="both"/>
        <w:rPr/>
      </w:pPr>
      <w:r>
        <w:rPr/>
        <w:t>(Connecticut Federal District Court) (Weil Gotshal &amp; Manges – Melanie Gray)</w:t>
      </w:r>
    </w:p>
    <w:p>
      <w:pPr>
        <w:pStyle w:val="Normal"/>
        <w:jc w:val="both"/>
        <w:rPr/>
      </w:pPr>
      <w:r>
        <w:rPr/>
      </w:r>
    </w:p>
    <w:p>
      <w:pPr>
        <w:pStyle w:val="Normal"/>
        <w:numPr>
          <w:ilvl w:val="0"/>
          <w:numId w:val="23"/>
        </w:numPr>
        <w:ind w:hanging="360" w:start="720" w:end="0"/>
        <w:jc w:val="both"/>
        <w:rPr/>
      </w:pPr>
      <w:r>
        <w:rPr/>
        <w:t>Lawsuit filed by the PCA bankruptcy trustee alleging wrongful termination of PCA’s power contract.</w:t>
      </w:r>
    </w:p>
    <w:p>
      <w:pPr>
        <w:pStyle w:val="Normal"/>
        <w:numPr>
          <w:ilvl w:val="0"/>
          <w:numId w:val="23"/>
        </w:numPr>
        <w:ind w:hanging="360" w:start="720" w:end="0"/>
        <w:jc w:val="both"/>
        <w:rPr/>
      </w:pPr>
      <w:r>
        <w:rPr/>
        <w:t>Alleged damages are between $4-12 million.</w:t>
      </w:r>
    </w:p>
    <w:p>
      <w:pPr>
        <w:pStyle w:val="Normal"/>
        <w:numPr>
          <w:ilvl w:val="0"/>
          <w:numId w:val="23"/>
        </w:numPr>
        <w:ind w:hanging="360" w:start="720" w:end="0"/>
        <w:jc w:val="both"/>
        <w:rPr>
          <w:b/>
          <w:bCs/>
        </w:rPr>
      </w:pPr>
      <w:r>
        <w:rPr>
          <w:b/>
          <w:bCs/>
        </w:rPr>
        <w:t>Plaintiffs have requested a conference to discuss settlement.</w:t>
      </w:r>
    </w:p>
    <w:p>
      <w:pPr>
        <w:pStyle w:val="Heading1"/>
        <w:rPr>
          <w:b w:val="false"/>
          <w:bCs/>
          <w:sz w:val="24"/>
        </w:rPr>
      </w:pPr>
      <w:r>
        <w:rPr>
          <w:b w:val="false"/>
          <w:bCs/>
          <w:sz w:val="24"/>
        </w:rPr>
      </w:r>
    </w:p>
    <w:p>
      <w:pPr>
        <w:pStyle w:val="Heading1"/>
        <w:tabs>
          <w:tab w:val="clear" w:pos="720"/>
          <w:tab w:val="left" w:pos="5106" w:leader="none"/>
          <w:tab w:val="left" w:pos="7254" w:leader="none"/>
        </w:tabs>
        <w:ind w:start="0" w:end="0"/>
        <w:rPr>
          <w:i/>
          <w:i/>
          <w:iCs/>
          <w:sz w:val="24"/>
        </w:rPr>
      </w:pPr>
      <w:r>
        <w:rPr>
          <w:i/>
          <w:iCs/>
          <w:sz w:val="24"/>
        </w:rPr>
        <w:t>Enron v. Antarra Resources</w:t>
      </w:r>
    </w:p>
    <w:p>
      <w:pPr>
        <w:pStyle w:val="Normal"/>
        <w:jc w:val="both"/>
        <w:rPr/>
      </w:pPr>
      <w:r>
        <w:rPr/>
        <w:t>(Harris County District Court) (Buck, Kennan &amp; Owens – Randy Owens)</w:t>
      </w:r>
    </w:p>
    <w:p>
      <w:pPr>
        <w:pStyle w:val="Normal"/>
        <w:jc w:val="both"/>
        <w:rPr/>
      </w:pPr>
      <w:r>
        <w:rPr/>
      </w:r>
    </w:p>
    <w:p>
      <w:pPr>
        <w:pStyle w:val="Normal"/>
        <w:numPr>
          <w:ilvl w:val="0"/>
          <w:numId w:val="23"/>
        </w:numPr>
        <w:ind w:hanging="360" w:start="720" w:end="0"/>
        <w:jc w:val="both"/>
        <w:rPr/>
      </w:pPr>
      <w:r>
        <w:rPr/>
        <w:t>Badack Resources, a subsidiary of Antarra, defaulted on a gas sales agreement with ENA.</w:t>
      </w:r>
    </w:p>
    <w:p>
      <w:pPr>
        <w:pStyle w:val="Normal"/>
        <w:numPr>
          <w:ilvl w:val="0"/>
          <w:numId w:val="23"/>
        </w:numPr>
        <w:ind w:hanging="360" w:start="720" w:end="0"/>
        <w:jc w:val="both"/>
        <w:rPr/>
      </w:pPr>
      <w:r>
        <w:rPr/>
        <w:t>ENA’s damages are approximately $8.4 million.</w:t>
      </w:r>
    </w:p>
    <w:p>
      <w:pPr>
        <w:pStyle w:val="Normal"/>
        <w:numPr>
          <w:ilvl w:val="0"/>
          <w:numId w:val="23"/>
        </w:numPr>
        <w:ind w:hanging="360" w:start="720" w:end="0"/>
        <w:jc w:val="both"/>
        <w:rPr/>
      </w:pPr>
      <w:r>
        <w:rPr/>
        <w:t>Antarra was sued under a corporate guaranty.</w:t>
      </w:r>
    </w:p>
    <w:p>
      <w:pPr>
        <w:pStyle w:val="Normal"/>
        <w:numPr>
          <w:ilvl w:val="0"/>
          <w:numId w:val="23"/>
        </w:numPr>
        <w:ind w:hanging="360" w:start="720" w:end="0"/>
        <w:jc w:val="both"/>
        <w:rPr/>
      </w:pPr>
      <w:r>
        <w:rPr/>
        <w:t>Suit was filed on August 17th.</w:t>
      </w:r>
    </w:p>
    <w:p>
      <w:pPr>
        <w:pStyle w:val="Normal"/>
        <w:numPr>
          <w:ilvl w:val="0"/>
          <w:numId w:val="23"/>
        </w:numPr>
        <w:ind w:hanging="360" w:start="720" w:end="0"/>
        <w:jc w:val="both"/>
        <w:rPr>
          <w:b/>
          <w:bCs/>
        </w:rPr>
      </w:pPr>
      <w:r>
        <w:rPr>
          <w:b/>
          <w:bCs/>
        </w:rPr>
        <w:t>ENA has filed a motion for summary judgment, which is scheduled to be heard on November 15, 2000.</w:t>
      </w:r>
    </w:p>
    <w:p>
      <w:pPr>
        <w:pStyle w:val="Normal"/>
        <w:jc w:val="both"/>
        <w:rPr>
          <w:b/>
          <w:bCs/>
        </w:rPr>
      </w:pPr>
      <w:r>
        <w:rPr>
          <w:b/>
          <w:bCs/>
        </w:rPr>
      </w:r>
    </w:p>
    <w:p>
      <w:pPr>
        <w:pStyle w:val="Heading1"/>
        <w:tabs>
          <w:tab w:val="clear" w:pos="720"/>
          <w:tab w:val="left" w:pos="5106" w:leader="none"/>
          <w:tab w:val="left" w:pos="7254" w:leader="none"/>
        </w:tabs>
        <w:ind w:start="0" w:end="0"/>
        <w:rPr>
          <w:i/>
          <w:i/>
          <w:iCs/>
          <w:sz w:val="24"/>
        </w:rPr>
      </w:pPr>
      <w:r>
        <w:rPr>
          <w:i/>
          <w:iCs/>
          <w:sz w:val="24"/>
        </w:rPr>
        <w:t>Wright v. Enron Corporation</w:t>
      </w:r>
    </w:p>
    <w:p>
      <w:pPr>
        <w:pStyle w:val="Normal"/>
        <w:jc w:val="both"/>
        <w:rPr/>
      </w:pPr>
      <w:r>
        <w:rPr/>
        <w:t>(Gibbs &amp; Bruns/Vinson &amp;  Elkins)</w:t>
      </w:r>
    </w:p>
    <w:p>
      <w:pPr>
        <w:pStyle w:val="Normal"/>
        <w:jc w:val="both"/>
        <w:rPr/>
      </w:pPr>
      <w:r>
        <w:rPr/>
      </w:r>
    </w:p>
    <w:p>
      <w:pPr>
        <w:pStyle w:val="Normal"/>
        <w:numPr>
          <w:ilvl w:val="0"/>
          <w:numId w:val="23"/>
        </w:numPr>
        <w:ind w:hanging="360" w:start="720" w:end="0"/>
        <w:jc w:val="both"/>
        <w:rPr/>
      </w:pPr>
      <w:r>
        <w:rPr/>
        <w:t>Qui tam case alleging that all marketing affiliates, including ECT, were created to defraud the federal government of royalty obligations.</w:t>
      </w:r>
    </w:p>
    <w:p>
      <w:pPr>
        <w:pStyle w:val="Normal"/>
        <w:numPr>
          <w:ilvl w:val="0"/>
          <w:numId w:val="23"/>
        </w:numPr>
        <w:ind w:hanging="360" w:start="720" w:end="0"/>
        <w:jc w:val="both"/>
        <w:rPr/>
      </w:pPr>
      <w:r>
        <w:rPr/>
        <w:t>This case has been consolidated with the Grynberg case in Wyoming.</w:t>
      </w:r>
    </w:p>
    <w:p>
      <w:pPr>
        <w:pStyle w:val="Normal"/>
        <w:numPr>
          <w:ilvl w:val="0"/>
          <w:numId w:val="23"/>
        </w:numPr>
        <w:ind w:hanging="360" w:start="720" w:end="0"/>
        <w:jc w:val="both"/>
        <w:rPr/>
      </w:pPr>
      <w:r>
        <w:rPr/>
        <w:t>The Department of Justice has not decided whether to intervene in this case.</w:t>
      </w:r>
    </w:p>
    <w:p>
      <w:pPr>
        <w:pStyle w:val="Body"/>
        <w:ind w:start="0" w:end="0"/>
        <w:rPr>
          <w:rFonts w:ascii="Times New Roman" w:hAnsi="Times New Roman" w:cs="Times New Roman"/>
          <w:b/>
          <w:sz w:val="24"/>
        </w:rPr>
      </w:pPr>
      <w:r>
        <w:rPr>
          <w:rFonts w:cs="Times New Roman" w:ascii="Times New Roman" w:hAnsi="Times New Roman"/>
          <w:b/>
          <w:sz w:val="24"/>
        </w:rPr>
      </w:r>
    </w:p>
    <w:p>
      <w:pPr>
        <w:pStyle w:val="Body"/>
        <w:ind w:start="0" w:end="0"/>
        <w:rPr>
          <w:rFonts w:ascii="Times New Roman" w:hAnsi="Times New Roman" w:cs="Times New Roman"/>
          <w:b/>
          <w:sz w:val="24"/>
        </w:rPr>
      </w:pPr>
      <w:r>
        <w:rPr>
          <w:rFonts w:cs="Times New Roman" w:ascii="Times New Roman" w:hAnsi="Times New Roman"/>
          <w:b/>
          <w:sz w:val="24"/>
        </w:rPr>
        <w:t>POTENTIAL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Normal"/>
        <w:jc w:val="both"/>
        <w:rPr>
          <w:b/>
          <w:i/>
          <w:i/>
          <w:u w:val="single"/>
        </w:rPr>
      </w:pPr>
      <w:r>
        <w:rPr>
          <w:b/>
          <w:i/>
          <w:u w:val="single"/>
        </w:rPr>
        <w:t>Citrus v. Duke LNG Sales Dispute</w:t>
      </w:r>
    </w:p>
    <w:p>
      <w:pPr>
        <w:pStyle w:val="Normal"/>
        <w:jc w:val="both"/>
        <w:rPr>
          <w:bCs/>
        </w:rPr>
      </w:pPr>
      <w:r>
        <w:rPr>
          <w:bCs/>
        </w:rPr>
        <w:t>(Susman Godfrey/Neal Manne)</w:t>
      </w:r>
    </w:p>
    <w:p>
      <w:pPr>
        <w:pStyle w:val="Normal"/>
        <w:jc w:val="both"/>
        <w:rPr>
          <w:bCs/>
        </w:rPr>
      </w:pPr>
      <w:r>
        <w:rPr>
          <w:bCs/>
        </w:rPr>
      </w:r>
    </w:p>
    <w:p>
      <w:pPr>
        <w:pStyle w:val="Normal"/>
        <w:numPr>
          <w:ilvl w:val="0"/>
          <w:numId w:val="22"/>
        </w:numPr>
        <w:ind w:hanging="360" w:start="720" w:end="0"/>
        <w:jc w:val="both"/>
        <w:rPr>
          <w:bCs/>
        </w:rPr>
      </w:pPr>
      <w:r>
        <w:rPr>
          <w:bCs/>
        </w:rPr>
        <w:t>Duke has initiated the price renegotiation provision of the long term LNG sales agreement between Duke and Citrus.</w:t>
      </w:r>
    </w:p>
    <w:p>
      <w:pPr>
        <w:pStyle w:val="Normal"/>
        <w:numPr>
          <w:ilvl w:val="0"/>
          <w:numId w:val="22"/>
        </w:numPr>
        <w:ind w:hanging="360" w:start="720" w:end="0"/>
        <w:jc w:val="both"/>
        <w:rPr>
          <w:bCs/>
        </w:rPr>
      </w:pPr>
      <w:r>
        <w:rPr>
          <w:bCs/>
        </w:rPr>
        <w:t>If the parties are unsuccessful in their renegotiations, they are required to submit to a baseball arbitration to resolve any dispute about the new price Citrus will pay Duke for the LNG.</w:t>
      </w:r>
    </w:p>
    <w:p>
      <w:pPr>
        <w:pStyle w:val="Normal"/>
        <w:numPr>
          <w:ilvl w:val="0"/>
          <w:numId w:val="22"/>
        </w:numPr>
        <w:ind w:hanging="360" w:start="720" w:end="0"/>
        <w:jc w:val="both"/>
        <w:rPr>
          <w:bCs/>
        </w:rPr>
      </w:pPr>
      <w:r>
        <w:rPr>
          <w:bCs/>
        </w:rPr>
        <w:t>Duke has argued that the price caps under the sales agreement are void.</w:t>
      </w:r>
    </w:p>
    <w:p>
      <w:pPr>
        <w:pStyle w:val="Normal"/>
        <w:jc w:val="both"/>
        <w:rPr>
          <w:bCs/>
        </w:rPr>
      </w:pPr>
      <w:r>
        <w:rPr>
          <w:bCs/>
        </w:rPr>
      </w:r>
    </w:p>
    <w:p>
      <w:pPr>
        <w:pStyle w:val="Heading7"/>
        <w:ind w:hanging="0" w:start="0"/>
        <w:rPr>
          <w:rFonts w:ascii="Times New Roman" w:hAnsi="Times New Roman" w:cs="Times New Roman"/>
          <w:sz w:val="24"/>
        </w:rPr>
      </w:pPr>
      <w:r>
        <w:rPr>
          <w:rFonts w:cs="Times New Roman" w:ascii="Times New Roman" w:hAnsi="Times New Roman"/>
          <w:sz w:val="24"/>
        </w:rPr>
        <w:t>Brazos River v.  Ponderosa Pine</w:t>
      </w:r>
    </w:p>
    <w:p>
      <w:pPr>
        <w:pStyle w:val="Normal"/>
        <w:jc w:val="both"/>
        <w:rPr>
          <w:bCs/>
        </w:rPr>
      </w:pPr>
      <w:r>
        <w:rPr>
          <w:bCs/>
        </w:rPr>
        <w:t>(Vinson &amp; Elkins/Bracewell &amp; Patterson)</w:t>
      </w:r>
    </w:p>
    <w:p>
      <w:pPr>
        <w:pStyle w:val="Normal"/>
        <w:jc w:val="both"/>
        <w:rPr>
          <w:bCs/>
        </w:rPr>
      </w:pPr>
      <w:r>
        <w:rPr>
          <w:bCs/>
        </w:rPr>
      </w:r>
    </w:p>
    <w:p>
      <w:pPr>
        <w:pStyle w:val="Normal"/>
        <w:numPr>
          <w:ilvl w:val="0"/>
          <w:numId w:val="23"/>
        </w:numPr>
        <w:ind w:hanging="360" w:start="720" w:end="0"/>
        <w:jc w:val="both"/>
        <w:rPr/>
      </w:pPr>
      <w:r>
        <w:rPr>
          <w:bCs/>
        </w:rPr>
        <w:t xml:space="preserve">Brazos alleges </w:t>
      </w:r>
      <w:r>
        <w:rPr/>
        <w:t>that Ponderosa Pine has defaulted under their Power Purchase Agreement  (“PPA”) because Ponderosa Pine and Tenaska entered into an illegal assignment of the PPA.</w:t>
      </w:r>
    </w:p>
    <w:p>
      <w:pPr>
        <w:pStyle w:val="Normal"/>
        <w:numPr>
          <w:ilvl w:val="0"/>
          <w:numId w:val="23"/>
        </w:numPr>
        <w:ind w:hanging="360" w:start="720" w:end="0"/>
        <w:jc w:val="both"/>
        <w:rPr/>
      </w:pPr>
      <w:r>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23"/>
        </w:numPr>
        <w:ind w:hanging="360" w:start="720" w:end="0"/>
        <w:jc w:val="both"/>
        <w:rPr>
          <w:bCs/>
        </w:rPr>
      </w:pPr>
      <w:r>
        <w:rPr/>
        <w:t>Brazos and Ponderosa Pine have scheduled a settlement conference for November 10, 2000 to attempt to resolve these contested issues</w:t>
      </w:r>
      <w:r>
        <w:rPr>
          <w:bCs/>
        </w:rPr>
        <w:t>.</w:t>
      </w:r>
    </w:p>
    <w:p>
      <w:pPr>
        <w:pStyle w:val="Normal"/>
        <w:jc w:val="both"/>
        <w:rPr>
          <w:bCs/>
        </w:rPr>
      </w:pPr>
      <w:r>
        <w:rPr>
          <w:bCs/>
        </w:rPr>
      </w:r>
    </w:p>
    <w:p>
      <w:pPr>
        <w:pStyle w:val="Heading7"/>
        <w:ind w:hanging="0" w:start="0"/>
        <w:rPr>
          <w:rFonts w:ascii="Times New Roman" w:hAnsi="Times New Roman" w:cs="Times New Roman"/>
          <w:sz w:val="24"/>
        </w:rPr>
      </w:pPr>
      <w:r>
        <w:rPr>
          <w:rFonts w:cs="Times New Roman" w:ascii="Times New Roman" w:hAnsi="Times New Roman"/>
          <w:sz w:val="24"/>
        </w:rPr>
        <w:t>California PUC/Attorney General Investigation</w:t>
      </w:r>
    </w:p>
    <w:p>
      <w:pPr>
        <w:pStyle w:val="Normal"/>
        <w:jc w:val="both"/>
        <w:rPr/>
      </w:pPr>
      <w:r>
        <w:rPr>
          <w:bCs/>
        </w:rPr>
        <w:t>(</w:t>
      </w:r>
      <w:r>
        <w:rPr>
          <w:bCs/>
          <w:color w:val="000000"/>
          <w:szCs w:val="18"/>
        </w:rPr>
        <w:t>Brobeck Pflager Harrison – Gary Fergus</w:t>
      </w:r>
      <w:r>
        <w:rPr>
          <w:bCs/>
        </w:rPr>
        <w:t>)</w:t>
      </w:r>
    </w:p>
    <w:p>
      <w:pPr>
        <w:pStyle w:val="Normal"/>
        <w:jc w:val="both"/>
        <w:rPr>
          <w:bCs/>
        </w:rPr>
      </w:pPr>
      <w:r>
        <w:rPr>
          <w:bCs/>
        </w:rPr>
      </w:r>
    </w:p>
    <w:p>
      <w:pPr>
        <w:pStyle w:val="Normal"/>
        <w:numPr>
          <w:ilvl w:val="0"/>
          <w:numId w:val="23"/>
        </w:numPr>
        <w:ind w:hanging="360" w:start="720" w:end="0"/>
        <w:jc w:val="both"/>
        <w:rPr/>
      </w:pPr>
      <w:r>
        <w:rPr>
          <w:bCs/>
        </w:rPr>
        <w:t xml:space="preserve">The California Public </w:t>
      </w:r>
      <w:r>
        <w:rPr/>
        <w:t>Utilities Commission (“CPUC”) has issued a subpoena to ENA related to its West Coast power trading activities since 1998.  Included in this subpoena is a request for all profit and loss statements.</w:t>
      </w:r>
    </w:p>
    <w:p>
      <w:pPr>
        <w:pStyle w:val="Normal"/>
        <w:numPr>
          <w:ilvl w:val="0"/>
          <w:numId w:val="23"/>
        </w:numPr>
        <w:ind w:hanging="360" w:start="720" w:end="0"/>
        <w:jc w:val="both"/>
        <w:rPr/>
      </w:pPr>
      <w:r>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23"/>
        </w:numPr>
        <w:ind w:hanging="360" w:start="720" w:end="0"/>
        <w:jc w:val="both"/>
        <w:rPr/>
      </w:pPr>
      <w:r>
        <w:rPr/>
        <w:t>The California Attorney General has also initiated an investigation but has not issued a subpoena to ENA.  Last week the Attorney General invited ENA to meet to discuss the investigation.</w:t>
      </w:r>
    </w:p>
    <w:p>
      <w:pPr>
        <w:pStyle w:val="Normal"/>
        <w:numPr>
          <w:ilvl w:val="0"/>
          <w:numId w:val="23"/>
        </w:numPr>
        <w:ind w:hanging="360" w:start="720" w:end="0"/>
        <w:jc w:val="both"/>
        <w:rPr>
          <w:bCs/>
        </w:rPr>
      </w:pPr>
      <w:r>
        <w:rPr/>
        <w:t>ENA has not provided the</w:t>
      </w:r>
      <w:r>
        <w:rPr>
          <w:bCs/>
        </w:rPr>
        <w:t xml:space="preserve"> requested trading data.</w:t>
      </w:r>
    </w:p>
    <w:p>
      <w:pPr>
        <w:pStyle w:val="Normal"/>
        <w:jc w:val="both"/>
        <w:rPr>
          <w:bCs/>
        </w:rPr>
      </w:pPr>
      <w:r>
        <w:rPr>
          <w:bCs/>
        </w:rPr>
      </w:r>
    </w:p>
    <w:p>
      <w:pPr>
        <w:pStyle w:val="Heading7"/>
        <w:ind w:hanging="0" w:start="0"/>
        <w:rPr>
          <w:rFonts w:ascii="Times New Roman" w:hAnsi="Times New Roman" w:cs="Times New Roman"/>
          <w:sz w:val="24"/>
        </w:rPr>
      </w:pPr>
      <w:r>
        <w:rPr>
          <w:rFonts w:cs="Times New Roman" w:ascii="Times New Roman" w:hAnsi="Times New Roman"/>
          <w:sz w:val="24"/>
        </w:rPr>
        <w:t>Project Stanley</w:t>
      </w:r>
    </w:p>
    <w:p>
      <w:pPr>
        <w:pStyle w:val="Normal"/>
        <w:jc w:val="both"/>
        <w:rPr/>
      </w:pPr>
      <w:r>
        <w:rPr>
          <w:bCs/>
        </w:rPr>
        <w:t>(</w:t>
      </w:r>
      <w:r>
        <w:rPr>
          <w:bCs/>
          <w:color w:val="000000"/>
          <w:szCs w:val="18"/>
        </w:rPr>
        <w:t>Blake, Cassels &amp; Graydon – Glen Leslie</w:t>
      </w:r>
      <w:r>
        <w:rPr>
          <w:bCs/>
        </w:rPr>
        <w:t>)</w:t>
      </w:r>
    </w:p>
    <w:p>
      <w:pPr>
        <w:pStyle w:val="Normal"/>
        <w:jc w:val="both"/>
        <w:rPr>
          <w:bCs/>
        </w:rPr>
      </w:pPr>
      <w:r>
        <w:rPr>
          <w:bCs/>
        </w:rPr>
      </w:r>
    </w:p>
    <w:p>
      <w:pPr>
        <w:pStyle w:val="Normal"/>
        <w:numPr>
          <w:ilvl w:val="0"/>
          <w:numId w:val="23"/>
        </w:numPr>
        <w:ind w:hanging="360" w:start="720" w:end="0"/>
        <w:jc w:val="both"/>
        <w:rPr/>
      </w:pPr>
      <w:r>
        <w:rPr>
          <w:bCs/>
        </w:rPr>
        <w:t xml:space="preserve">In May, the Canadian </w:t>
      </w:r>
      <w:r>
        <w:rPr/>
        <w:t>government executed a search warrant for certain information related to Enron Canada’s purchase of power from PowerX.  The alleged criminal violation is price fixing.</w:t>
      </w:r>
    </w:p>
    <w:p>
      <w:pPr>
        <w:pStyle w:val="Normal"/>
        <w:numPr>
          <w:ilvl w:val="0"/>
          <w:numId w:val="23"/>
        </w:numPr>
        <w:ind w:hanging="360" w:start="720" w:end="0"/>
        <w:jc w:val="both"/>
        <w:rPr>
          <w:b/>
          <w:bCs/>
        </w:rPr>
      </w:pPr>
      <w:r>
        <w:rPr/>
        <w:t>The government’s investigation has not progressed significantly since May.  We are closely monitoring the situation and are in communications with</w:t>
      </w:r>
      <w:r>
        <w:rPr>
          <w:bCs/>
        </w:rPr>
        <w:t xml:space="preserve"> government attorneys and investigators.</w:t>
      </w:r>
    </w:p>
    <w:p>
      <w:pPr>
        <w:pStyle w:val="Normal"/>
        <w:jc w:val="both"/>
        <w:rPr>
          <w:b/>
          <w:bCs/>
        </w:rPr>
      </w:pPr>
      <w:r>
        <w:rPr>
          <w:b/>
          <w:bCs/>
        </w:rPr>
      </w:r>
    </w:p>
    <w:p>
      <w:pPr>
        <w:pStyle w:val="Normal"/>
        <w:jc w:val="both"/>
        <w:rPr/>
      </w:pPr>
      <w:r>
        <w:rPr/>
      </w:r>
    </w:p>
    <w:p>
      <w:pPr>
        <w:pStyle w:val="Heading"/>
        <w:rPr>
          <w:rFonts w:ascii="Times New Roman" w:hAnsi="Times New Roman" w:cs="Times New Roman"/>
          <w:caps/>
        </w:rPr>
      </w:pPr>
      <w:r>
        <w:rPr>
          <w:rFonts w:cs="Times New Roman" w:ascii="Times New Roman" w:hAnsi="Times New Roman"/>
          <w:caps/>
        </w:rPr>
        <w:t>Enron Industrial Markets LLC</w:t>
      </w:r>
    </w:p>
    <w:p>
      <w:pPr>
        <w:pStyle w:val="Normal"/>
        <w:rPr>
          <w:rFonts w:ascii="Times New Roman" w:hAnsi="Times New Roman" w:cs="Times New Roman"/>
          <w:caps/>
        </w:rPr>
      </w:pPr>
      <w:r>
        <w:rPr>
          <w:rFonts w:cs="Times New Roman"/>
          <w:caps/>
        </w:rPr>
      </w:r>
    </w:p>
    <w:p>
      <w:pPr>
        <w:pStyle w:val="Heading1"/>
        <w:rPr>
          <w:b w:val="false"/>
          <w:bCs/>
        </w:rPr>
      </w:pPr>
      <w:r>
        <w:rPr>
          <w:b w:val="false"/>
          <w:bCs/>
        </w:rPr>
        <w:t>Organization</w:t>
      </w:r>
    </w:p>
    <w:p>
      <w:pPr>
        <w:pStyle w:val="Normal"/>
        <w:rPr/>
      </w:pPr>
      <w:r>
        <w:rPr/>
      </w:r>
    </w:p>
    <w:p>
      <w:pPr>
        <w:pStyle w:val="Normal"/>
        <w:numPr>
          <w:ilvl w:val="0"/>
          <w:numId w:val="18"/>
        </w:numPr>
        <w:rPr/>
      </w:pPr>
      <w:r>
        <w:rPr/>
        <w:t>Formation of Enron Net Works Partnership [Julia Murray]</w:t>
      </w:r>
    </w:p>
    <w:p>
      <w:pPr>
        <w:pStyle w:val="Normal"/>
        <w:numPr>
          <w:ilvl w:val="0"/>
          <w:numId w:val="18"/>
        </w:numPr>
        <w:rPr/>
      </w:pPr>
      <w:r>
        <w:rPr/>
        <w:t>Organization of Trading/Operations structures (ENA, EIM, NetWorks Partners) [Julia Murray]</w:t>
      </w:r>
    </w:p>
    <w:p>
      <w:pPr>
        <w:pStyle w:val="Normal"/>
        <w:numPr>
          <w:ilvl w:val="0"/>
          <w:numId w:val="18"/>
        </w:numPr>
        <w:rPr/>
      </w:pPr>
      <w:r>
        <w:rPr/>
        <w:t>Coordination with Enron NetWorks Partners [Julia Murray]</w:t>
      </w:r>
    </w:p>
    <w:p>
      <w:pPr>
        <w:pStyle w:val="Heading1"/>
        <w:rPr>
          <w:b w:val="false"/>
          <w:bCs/>
        </w:rPr>
      </w:pPr>
      <w:r>
        <w:rPr>
          <w:b w:val="false"/>
          <w:bCs/>
        </w:rPr>
      </w:r>
    </w:p>
    <w:p>
      <w:pPr>
        <w:pStyle w:val="Heading1"/>
        <w:rPr>
          <w:b w:val="false"/>
          <w:bCs/>
        </w:rPr>
      </w:pPr>
      <w:r>
        <w:rPr>
          <w:b w:val="false"/>
          <w:bCs/>
        </w:rPr>
        <w:t>Pulp &amp; Paper</w:t>
      </w:r>
    </w:p>
    <w:p>
      <w:pPr>
        <w:pStyle w:val="Normal"/>
        <w:rPr>
          <w:b/>
          <w:bCs/>
        </w:rPr>
      </w:pPr>
      <w:r>
        <w:rPr>
          <w:b/>
          <w:bCs/>
        </w:rPr>
      </w:r>
    </w:p>
    <w:p>
      <w:pPr>
        <w:pStyle w:val="Normal"/>
        <w:numPr>
          <w:ilvl w:val="0"/>
          <w:numId w:val="11"/>
        </w:numPr>
        <w:rPr/>
      </w:pPr>
      <w:r>
        <w:rPr/>
        <w:t>Mergers &amp; Acquisitions/Originations [Peter del Vecchio]</w:t>
      </w:r>
    </w:p>
    <w:p>
      <w:pPr>
        <w:pStyle w:val="Normal"/>
        <w:numPr>
          <w:ilvl w:val="1"/>
          <w:numId w:val="11"/>
        </w:numPr>
        <w:rPr/>
      </w:pPr>
      <w:r>
        <w:rPr/>
        <w:t>Project Falcon</w:t>
      </w:r>
    </w:p>
    <w:p>
      <w:pPr>
        <w:pStyle w:val="Normal"/>
        <w:numPr>
          <w:ilvl w:val="1"/>
          <w:numId w:val="11"/>
        </w:numPr>
        <w:rPr/>
      </w:pPr>
      <w:r>
        <w:rPr/>
        <w:t>Project Crane</w:t>
      </w:r>
    </w:p>
    <w:p>
      <w:pPr>
        <w:pStyle w:val="Normal"/>
        <w:numPr>
          <w:ilvl w:val="1"/>
          <w:numId w:val="11"/>
        </w:numPr>
        <w:rPr/>
      </w:pPr>
      <w:r>
        <w:rPr/>
        <w:t>Project Canary-Celgar</w:t>
      </w:r>
    </w:p>
    <w:p>
      <w:pPr>
        <w:pStyle w:val="Normal"/>
        <w:numPr>
          <w:ilvl w:val="1"/>
          <w:numId w:val="11"/>
        </w:numPr>
        <w:rPr/>
      </w:pPr>
      <w:r>
        <w:rPr/>
        <w:t>Papier Masson – Buy/Sell</w:t>
      </w:r>
    </w:p>
    <w:p>
      <w:pPr>
        <w:pStyle w:val="Normal"/>
        <w:numPr>
          <w:ilvl w:val="1"/>
          <w:numId w:val="11"/>
        </w:numPr>
        <w:rPr/>
      </w:pPr>
      <w:r>
        <w:rPr/>
        <w:t>Others (Oconto Falls/Rebox, Casella)</w:t>
      </w:r>
    </w:p>
    <w:p>
      <w:pPr>
        <w:pStyle w:val="Normal"/>
        <w:numPr>
          <w:ilvl w:val="0"/>
          <w:numId w:val="11"/>
        </w:numPr>
        <w:rPr/>
      </w:pPr>
      <w:r>
        <w:rPr/>
        <w:t>Garden State Paper [Peter del Vecchio]</w:t>
      </w:r>
    </w:p>
    <w:p>
      <w:pPr>
        <w:pStyle w:val="Normal"/>
        <w:numPr>
          <w:ilvl w:val="1"/>
          <w:numId w:val="11"/>
        </w:numPr>
        <w:rPr/>
      </w:pPr>
      <w:r>
        <w:rPr/>
        <w:t>Post-closing matters</w:t>
      </w:r>
    </w:p>
    <w:p>
      <w:pPr>
        <w:pStyle w:val="Normal"/>
        <w:numPr>
          <w:ilvl w:val="1"/>
          <w:numId w:val="11"/>
        </w:numPr>
        <w:rPr/>
      </w:pPr>
      <w:r>
        <w:rPr/>
        <w:t>Operations</w:t>
      </w:r>
    </w:p>
    <w:p>
      <w:pPr>
        <w:pStyle w:val="Normal"/>
        <w:numPr>
          <w:ilvl w:val="1"/>
          <w:numId w:val="11"/>
        </w:numPr>
        <w:rPr/>
      </w:pPr>
      <w:r>
        <w:rPr/>
        <w:t>Financing</w:t>
      </w:r>
    </w:p>
    <w:p>
      <w:pPr>
        <w:pStyle w:val="Normal"/>
        <w:numPr>
          <w:ilvl w:val="0"/>
          <w:numId w:val="11"/>
        </w:numPr>
        <w:rPr/>
      </w:pPr>
      <w:r>
        <w:rPr/>
        <w:t>Physical Trading [Harry Collins]</w:t>
      </w:r>
    </w:p>
    <w:p>
      <w:pPr>
        <w:pStyle w:val="BodyTextIndent"/>
        <w:numPr>
          <w:ilvl w:val="1"/>
          <w:numId w:val="11"/>
        </w:numPr>
        <w:rPr/>
      </w:pPr>
      <w:r>
        <w:rPr/>
        <w:t>Pulp &amp; Paper/Lumber</w:t>
      </w:r>
    </w:p>
    <w:p>
      <w:pPr>
        <w:pStyle w:val="Normal"/>
        <w:numPr>
          <w:ilvl w:val="1"/>
          <w:numId w:val="11"/>
        </w:numPr>
        <w:rPr/>
      </w:pPr>
      <w:r>
        <w:rPr/>
        <w:t>Electronic Trading (Clickpaper.com, Asia roll out)</w:t>
      </w:r>
    </w:p>
    <w:p>
      <w:pPr>
        <w:pStyle w:val="Normal"/>
        <w:numPr>
          <w:ilvl w:val="1"/>
          <w:numId w:val="11"/>
        </w:numPr>
        <w:rPr/>
      </w:pPr>
      <w:r>
        <w:rPr/>
        <w:t>Garden State Paper (ONP feedstock agreements)</w:t>
      </w:r>
    </w:p>
    <w:p>
      <w:pPr>
        <w:pStyle w:val="Normal"/>
        <w:rPr/>
      </w:pPr>
      <w:r>
        <w:rPr/>
      </w:r>
    </w:p>
    <w:p>
      <w:pPr>
        <w:pStyle w:val="Heading2"/>
        <w:rPr/>
      </w:pPr>
      <w:r>
        <w:rPr/>
        <w:t>Steel</w:t>
      </w:r>
    </w:p>
    <w:p>
      <w:pPr>
        <w:pStyle w:val="Normal"/>
        <w:rPr/>
      </w:pPr>
      <w:r>
        <w:rPr/>
      </w:r>
    </w:p>
    <w:p>
      <w:pPr>
        <w:pStyle w:val="Normal"/>
        <w:numPr>
          <w:ilvl w:val="0"/>
          <w:numId w:val="16"/>
        </w:numPr>
        <w:rPr/>
      </w:pPr>
      <w:r>
        <w:rPr/>
        <w:t>Electronic Trading [Harry Collins]</w:t>
      </w:r>
    </w:p>
    <w:p>
      <w:pPr>
        <w:pStyle w:val="Normal"/>
        <w:numPr>
          <w:ilvl w:val="0"/>
          <w:numId w:val="16"/>
        </w:numPr>
        <w:rPr/>
      </w:pPr>
      <w:r>
        <w:rPr/>
        <w:t>Forms Development (Consignment transactions, Physical trading) [Harry Collins]</w:t>
      </w:r>
    </w:p>
    <w:p>
      <w:pPr>
        <w:pStyle w:val="Normal"/>
        <w:numPr>
          <w:ilvl w:val="0"/>
          <w:numId w:val="16"/>
        </w:numPr>
        <w:rPr/>
      </w:pPr>
      <w:r>
        <w:rPr/>
        <w:t>Metals USA [Lou Stoler]</w:t>
      </w:r>
    </w:p>
    <w:p>
      <w:pPr>
        <w:pStyle w:val="Normal"/>
        <w:rPr/>
      </w:pPr>
      <w:r>
        <w:rPr/>
      </w:r>
    </w:p>
    <w:p>
      <w:pPr>
        <w:pStyle w:val="Heading2"/>
        <w:rPr/>
      </w:pPr>
      <w:r>
        <w:rPr/>
        <w:t>Miscellaneous</w:t>
      </w:r>
    </w:p>
    <w:p>
      <w:pPr>
        <w:pStyle w:val="Normal"/>
        <w:rPr/>
      </w:pPr>
      <w:r>
        <w:rPr/>
      </w:r>
    </w:p>
    <w:p>
      <w:pPr>
        <w:pStyle w:val="Normal"/>
        <w:numPr>
          <w:ilvl w:val="0"/>
          <w:numId w:val="13"/>
        </w:numPr>
        <w:rPr/>
      </w:pPr>
      <w:r>
        <w:rPr/>
        <w:t>Garden State Paper-Antitrust training</w:t>
      </w:r>
    </w:p>
    <w:p>
      <w:pPr>
        <w:pStyle w:val="Normal"/>
        <w:numPr>
          <w:ilvl w:val="0"/>
          <w:numId w:val="13"/>
        </w:numPr>
        <w:rPr/>
      </w:pPr>
      <w:r>
        <w:rPr/>
        <w:t>Alamac</w:t>
      </w:r>
    </w:p>
    <w:p>
      <w:pPr>
        <w:pStyle w:val="Normal"/>
        <w:numPr>
          <w:ilvl w:val="0"/>
          <w:numId w:val="13"/>
        </w:numPr>
        <w:rPr/>
      </w:pPr>
      <w:r>
        <w:rPr/>
        <w:t>Environmental, Labor and Benefits Risk Education Seminars</w:t>
      </w:r>
    </w:p>
    <w:p>
      <w:pPr>
        <w:pStyle w:val="Normal"/>
        <w:numPr>
          <w:ilvl w:val="0"/>
          <w:numId w:val="13"/>
        </w:numPr>
        <w:rPr/>
      </w:pPr>
      <w:r>
        <w:rPr/>
        <w:t>Analysis of Prepay Structures</w:t>
      </w:r>
    </w:p>
    <w:p>
      <w:pPr>
        <w:pStyle w:val="Normal"/>
        <w:numPr>
          <w:ilvl w:val="0"/>
          <w:numId w:val="13"/>
        </w:numPr>
        <w:rPr/>
      </w:pPr>
      <w:r>
        <w:rPr/>
        <w:t>Review of Outside Counsel</w:t>
      </w:r>
    </w:p>
    <w:p>
      <w:pPr>
        <w:pStyle w:val="Normal"/>
        <w:numPr>
          <w:ilvl w:val="0"/>
          <w:numId w:val="13"/>
        </w:numPr>
        <w:rPr/>
      </w:pPr>
      <w:r>
        <w:rPr/>
        <w:t>Review of Outside Consultants</w:t>
      </w:r>
    </w:p>
    <w:p>
      <w:pPr>
        <w:pStyle w:val="Normal"/>
        <w:numPr>
          <w:ilvl w:val="0"/>
          <w:numId w:val="13"/>
        </w:numPr>
        <w:rPr/>
      </w:pPr>
      <w:r>
        <w:rPr/>
        <w:t>Legal Resources on EIM intranet</w:t>
      </w:r>
    </w:p>
    <w:p>
      <w:pPr>
        <w:pStyle w:val="Normal"/>
        <w:numPr>
          <w:ilvl w:val="0"/>
          <w:numId w:val="13"/>
        </w:numPr>
        <w:rPr/>
      </w:pPr>
      <w:r>
        <w:rPr/>
        <w:t>Live Link – Document storage/retention</w:t>
      </w:r>
    </w:p>
    <w:p>
      <w:pPr>
        <w:pStyle w:val="Normal"/>
        <w:ind w:start="360" w:end="0"/>
        <w:rPr/>
      </w:pPr>
      <w:r>
        <w:rPr/>
      </w:r>
    </w:p>
    <w:p>
      <w:pPr>
        <w:pStyle w:val="Normal"/>
        <w:ind w:start="360" w:end="0"/>
        <w:rPr/>
      </w:pPr>
      <w:r>
        <w:rPr/>
      </w:r>
    </w:p>
    <w:p>
      <w:pPr>
        <w:pStyle w:val="Heading4"/>
        <w:ind w:hanging="0" w:start="0"/>
        <w:rPr/>
      </w:pPr>
      <w:r>
        <w:rPr/>
        <w:t>ENRON GLOBAL MARKETS LLC</w:t>
      </w:r>
    </w:p>
    <w:p>
      <w:pPr>
        <w:pStyle w:val="Normal"/>
        <w:jc w:val="center"/>
        <w:rPr>
          <w:sz w:val="22"/>
        </w:rPr>
      </w:pPr>
      <w:r>
        <w:rPr>
          <w:sz w:val="22"/>
        </w:rPr>
      </w:r>
    </w:p>
    <w:p>
      <w:pPr>
        <w:pStyle w:val="Header"/>
        <w:tabs>
          <w:tab w:val="clear" w:pos="4320"/>
          <w:tab w:val="clear" w:pos="8640"/>
        </w:tabs>
        <w:rPr>
          <w:b/>
          <w:bCs/>
          <w:sz w:val="22"/>
        </w:rPr>
      </w:pPr>
      <w:r>
        <w:rPr>
          <w:b/>
          <w:bCs/>
          <w:sz w:val="22"/>
        </w:rPr>
        <w:t>Coal</w:t>
      </w:r>
    </w:p>
    <w:p>
      <w:pPr>
        <w:pStyle w:val="Normal"/>
        <w:numPr>
          <w:ilvl w:val="0"/>
          <w:numId w:val="7"/>
        </w:numPr>
        <w:rPr>
          <w:sz w:val="22"/>
        </w:rPr>
      </w:pPr>
      <w:r>
        <w:rPr>
          <w:sz w:val="22"/>
        </w:rPr>
        <w:t xml:space="preserve">Sempra Synfuel Transaction Restructure (Wayne Gresham)  </w:t>
      </w:r>
    </w:p>
    <w:p>
      <w:pPr>
        <w:pStyle w:val="Normal"/>
        <w:numPr>
          <w:ilvl w:val="0"/>
          <w:numId w:val="7"/>
        </w:numPr>
        <w:rPr>
          <w:sz w:val="22"/>
        </w:rPr>
      </w:pPr>
      <w:r>
        <w:rPr>
          <w:sz w:val="22"/>
        </w:rPr>
        <w:t>AIG Synfuel Transaction (Wayne Gresham)</w:t>
      </w:r>
    </w:p>
    <w:p>
      <w:pPr>
        <w:pStyle w:val="Normal"/>
        <w:numPr>
          <w:ilvl w:val="0"/>
          <w:numId w:val="7"/>
        </w:numPr>
        <w:rPr>
          <w:color w:val="000000"/>
          <w:sz w:val="22"/>
        </w:rPr>
      </w:pPr>
      <w:r>
        <w:rPr>
          <w:color w:val="000000"/>
          <w:sz w:val="22"/>
        </w:rPr>
        <w:t>Massey/Cline/ENA Joint Venture (Wayne Gresham/Marcus Nettelton)</w:t>
      </w:r>
    </w:p>
    <w:p>
      <w:pPr>
        <w:pStyle w:val="Normal"/>
        <w:numPr>
          <w:ilvl w:val="0"/>
          <w:numId w:val="7"/>
        </w:numPr>
        <w:rPr>
          <w:color w:val="000000"/>
          <w:sz w:val="22"/>
        </w:rPr>
      </w:pPr>
      <w:r>
        <w:rPr>
          <w:sz w:val="22"/>
        </w:rPr>
        <w:t>Panther Restructure (Alan Aronowitz)</w:t>
      </w:r>
    </w:p>
    <w:p>
      <w:pPr>
        <w:pStyle w:val="Normal"/>
        <w:numPr>
          <w:ilvl w:val="0"/>
          <w:numId w:val="7"/>
        </w:numPr>
        <w:rPr>
          <w:color w:val="000000"/>
          <w:sz w:val="22"/>
        </w:rPr>
      </w:pPr>
      <w:r>
        <w:rPr>
          <w:color w:val="000000"/>
          <w:sz w:val="22"/>
        </w:rPr>
        <w:t>Stadtwerke Bremen Transaction (Robert Quick\Michael Schuh)</w:t>
      </w:r>
    </w:p>
    <w:p>
      <w:pPr>
        <w:pStyle w:val="Normal"/>
        <w:numPr>
          <w:ilvl w:val="0"/>
          <w:numId w:val="7"/>
        </w:numPr>
        <w:rPr>
          <w:color w:val="000000"/>
          <w:sz w:val="22"/>
        </w:rPr>
      </w:pPr>
      <w:r>
        <w:rPr>
          <w:color w:val="000000"/>
          <w:sz w:val="22"/>
        </w:rPr>
        <w:t>BSES Indian Coal Supply Tender (Robert Quick)</w:t>
      </w:r>
    </w:p>
    <w:p>
      <w:pPr>
        <w:pStyle w:val="Normal"/>
        <w:numPr>
          <w:ilvl w:val="0"/>
          <w:numId w:val="7"/>
        </w:numPr>
        <w:rPr>
          <w:sz w:val="22"/>
        </w:rPr>
      </w:pPr>
      <w:r>
        <w:rPr>
          <w:color w:val="000000"/>
          <w:sz w:val="22"/>
        </w:rPr>
        <w:t>Billiton South African Coal Sales and Purchases (Robert Quick)</w:t>
      </w:r>
    </w:p>
    <w:p>
      <w:pPr>
        <w:pStyle w:val="Normal"/>
        <w:numPr>
          <w:ilvl w:val="0"/>
          <w:numId w:val="7"/>
        </w:numPr>
        <w:rPr>
          <w:sz w:val="22"/>
        </w:rPr>
      </w:pPr>
      <w:r>
        <w:rPr>
          <w:color w:val="000000"/>
          <w:sz w:val="22"/>
        </w:rPr>
        <w:t>First Energy Coal for Energy Tolling Agreement (Marcus Nettelton)</w:t>
      </w:r>
    </w:p>
    <w:p>
      <w:pPr>
        <w:pStyle w:val="Normal"/>
        <w:rPr>
          <w:sz w:val="22"/>
        </w:rPr>
      </w:pPr>
      <w:r>
        <w:rPr>
          <w:sz w:val="22"/>
        </w:rPr>
      </w:r>
    </w:p>
    <w:p>
      <w:pPr>
        <w:pStyle w:val="Normal"/>
        <w:rPr>
          <w:b/>
          <w:bCs/>
          <w:sz w:val="22"/>
        </w:rPr>
      </w:pPr>
      <w:r>
        <w:rPr>
          <w:b/>
          <w:bCs/>
          <w:sz w:val="22"/>
        </w:rPr>
        <w:t>Emissions/Clean Energy Solutions</w:t>
      </w:r>
    </w:p>
    <w:p>
      <w:pPr>
        <w:pStyle w:val="Normal"/>
        <w:numPr>
          <w:ilvl w:val="0"/>
          <w:numId w:val="11"/>
        </w:numPr>
        <w:rPr>
          <w:sz w:val="22"/>
        </w:rPr>
      </w:pPr>
      <w:r>
        <w:rPr>
          <w:sz w:val="22"/>
        </w:rPr>
        <w:t>NOx Tech Pilot Agreement with Consumers Energy (Marcus Nettelton)</w:t>
      </w:r>
    </w:p>
    <w:p>
      <w:pPr>
        <w:pStyle w:val="Normal"/>
        <w:numPr>
          <w:ilvl w:val="0"/>
          <w:numId w:val="11"/>
        </w:numPr>
        <w:rPr>
          <w:sz w:val="22"/>
        </w:rPr>
      </w:pPr>
      <w:r>
        <w:rPr>
          <w:sz w:val="22"/>
        </w:rPr>
        <w:t>NOx Tech Warrants Purchase (Wayne Gresham/Alan Aronowitz)</w:t>
      </w:r>
    </w:p>
    <w:p>
      <w:pPr>
        <w:pStyle w:val="Normal"/>
        <w:numPr>
          <w:ilvl w:val="0"/>
          <w:numId w:val="11"/>
        </w:numPr>
        <w:rPr>
          <w:sz w:val="22"/>
        </w:rPr>
      </w:pPr>
      <w:r>
        <w:rPr>
          <w:color w:val="000000"/>
          <w:sz w:val="22"/>
          <w:szCs w:val="20"/>
        </w:rPr>
        <w:t>Tennessee Valley Authority conceptual proposal for pilot and licensed use of NOxTech technology (Marcus Nettelton)</w:t>
      </w:r>
    </w:p>
    <w:p>
      <w:pPr>
        <w:pStyle w:val="Normal"/>
        <w:numPr>
          <w:ilvl w:val="0"/>
          <w:numId w:val="11"/>
        </w:numPr>
        <w:rPr>
          <w:sz w:val="22"/>
        </w:rPr>
      </w:pPr>
      <w:r>
        <w:rPr>
          <w:color w:val="000000"/>
          <w:sz w:val="22"/>
          <w:szCs w:val="20"/>
        </w:rPr>
        <w:t>Emissions Management Services Agreement concept (Marcus Nettelton)</w:t>
      </w:r>
    </w:p>
    <w:p>
      <w:pPr>
        <w:pStyle w:val="Normal"/>
        <w:numPr>
          <w:ilvl w:val="0"/>
          <w:numId w:val="11"/>
        </w:numPr>
        <w:rPr>
          <w:sz w:val="22"/>
        </w:rPr>
      </w:pPr>
      <w:r>
        <w:rPr>
          <w:color w:val="000000"/>
          <w:sz w:val="22"/>
          <w:szCs w:val="20"/>
        </w:rPr>
        <w:t>Consumers Energy – seeking extension on Demonstration to permit further testing on probes (Marcus Nettelton)</w:t>
      </w:r>
    </w:p>
    <w:p>
      <w:pPr>
        <w:pStyle w:val="Header"/>
        <w:tabs>
          <w:tab w:val="clear" w:pos="4320"/>
          <w:tab w:val="clear" w:pos="8640"/>
        </w:tabs>
        <w:rPr>
          <w:sz w:val="22"/>
        </w:rPr>
      </w:pPr>
      <w:r>
        <w:rPr>
          <w:sz w:val="22"/>
        </w:rPr>
        <w:t xml:space="preserve">  </w:t>
      </w:r>
    </w:p>
    <w:p>
      <w:pPr>
        <w:pStyle w:val="Normal"/>
        <w:tabs>
          <w:tab w:val="left" w:pos="720" w:leader="none"/>
        </w:tabs>
        <w:rPr>
          <w:b/>
          <w:bCs/>
          <w:sz w:val="22"/>
        </w:rPr>
      </w:pPr>
      <w:r>
        <w:rPr>
          <w:b/>
          <w:bCs/>
          <w:sz w:val="22"/>
        </w:rPr>
        <w:t xml:space="preserve">Liquids/Global Products </w:t>
      </w:r>
    </w:p>
    <w:p>
      <w:pPr>
        <w:pStyle w:val="Normal"/>
        <w:numPr>
          <w:ilvl w:val="0"/>
          <w:numId w:val="21"/>
        </w:numPr>
        <w:ind w:hanging="360" w:start="720" w:end="0"/>
        <w:rPr>
          <w:sz w:val="22"/>
        </w:rPr>
      </w:pPr>
      <w:r>
        <w:rPr>
          <w:sz w:val="22"/>
        </w:rPr>
        <w:t>First Gas Power Corporation (Philippines) – M/V Pacific Virgo/Rejection of Off Spec Cargo (Matt Lee)</w:t>
      </w:r>
    </w:p>
    <w:p>
      <w:pPr>
        <w:pStyle w:val="Normal"/>
        <w:numPr>
          <w:ilvl w:val="0"/>
          <w:numId w:val="21"/>
        </w:numPr>
        <w:ind w:hanging="360" w:start="720" w:end="0"/>
        <w:rPr>
          <w:sz w:val="22"/>
        </w:rPr>
      </w:pPr>
      <w:r>
        <w:rPr>
          <w:sz w:val="22"/>
        </w:rPr>
        <w:t>First Gas Contract – Legal Position Evaluation (Bob Williams/Alan Aronowitz/Matt Lee)</w:t>
      </w:r>
    </w:p>
    <w:p>
      <w:pPr>
        <w:pStyle w:val="Normal"/>
        <w:numPr>
          <w:ilvl w:val="0"/>
          <w:numId w:val="21"/>
        </w:numPr>
        <w:ind w:hanging="360" w:start="720" w:end="0"/>
        <w:rPr>
          <w:sz w:val="22"/>
        </w:rPr>
      </w:pPr>
      <w:r>
        <w:rPr>
          <w:sz w:val="22"/>
        </w:rPr>
        <w:t>Fu Bao Power Generating Co. Ltd. (Taiwan) (Matt Lee/Mike Robison)</w:t>
      </w:r>
    </w:p>
    <w:p>
      <w:pPr>
        <w:pStyle w:val="Normal"/>
        <w:numPr>
          <w:ilvl w:val="0"/>
          <w:numId w:val="21"/>
        </w:numPr>
        <w:ind w:hanging="360" w:start="720" w:end="0"/>
        <w:rPr>
          <w:sz w:val="22"/>
        </w:rPr>
      </w:pPr>
      <w:r>
        <w:rPr>
          <w:sz w:val="22"/>
        </w:rPr>
        <w:t>SK Offtake Put Option (Matt Lee/Mike Robison)</w:t>
      </w:r>
    </w:p>
    <w:p>
      <w:pPr>
        <w:pStyle w:val="Normal"/>
        <w:numPr>
          <w:ilvl w:val="0"/>
          <w:numId w:val="21"/>
        </w:numPr>
        <w:ind w:hanging="360" w:start="720" w:end="0"/>
        <w:rPr>
          <w:sz w:val="22"/>
        </w:rPr>
      </w:pPr>
      <w:r>
        <w:rPr>
          <w:sz w:val="22"/>
        </w:rPr>
        <w:t>Ethanol Offtake and Marketing Agreement – ECFC/Cascade Grain Products (Mike Robison)</w:t>
      </w:r>
    </w:p>
    <w:p>
      <w:pPr>
        <w:pStyle w:val="Normal"/>
        <w:numPr>
          <w:ilvl w:val="0"/>
          <w:numId w:val="21"/>
        </w:numPr>
        <w:ind w:hanging="360" w:start="720" w:end="0"/>
        <w:rPr>
          <w:sz w:val="22"/>
        </w:rPr>
      </w:pPr>
      <w:r>
        <w:rPr>
          <w:sz w:val="22"/>
        </w:rPr>
        <w:t>Maersk Marlin – Demurrage Claim (Harry Collins)</w:t>
      </w:r>
    </w:p>
    <w:p>
      <w:pPr>
        <w:pStyle w:val="Normal"/>
        <w:numPr>
          <w:ilvl w:val="0"/>
          <w:numId w:val="21"/>
        </w:numPr>
        <w:ind w:hanging="360" w:start="720" w:end="0"/>
        <w:rPr>
          <w:sz w:val="22"/>
        </w:rPr>
      </w:pPr>
      <w:r>
        <w:rPr>
          <w:sz w:val="22"/>
        </w:rPr>
        <w:t>West Coast Crude Marketing Agreement with EOTT (Harry Collins)</w:t>
      </w:r>
    </w:p>
    <w:p>
      <w:pPr>
        <w:pStyle w:val="Normal"/>
        <w:numPr>
          <w:ilvl w:val="0"/>
          <w:numId w:val="21"/>
        </w:numPr>
        <w:ind w:hanging="360" w:start="720" w:end="0"/>
        <w:rPr>
          <w:sz w:val="22"/>
        </w:rPr>
      </w:pPr>
      <w:r>
        <w:rPr>
          <w:sz w:val="22"/>
        </w:rPr>
        <w:t>Envera Equity Investment (John Viverito)</w:t>
      </w:r>
    </w:p>
    <w:p>
      <w:pPr>
        <w:pStyle w:val="Normal"/>
        <w:numPr>
          <w:ilvl w:val="0"/>
          <w:numId w:val="21"/>
        </w:numPr>
        <w:ind w:hanging="360" w:start="720" w:end="0"/>
        <w:rPr>
          <w:sz w:val="22"/>
        </w:rPr>
      </w:pPr>
      <w:r>
        <w:rPr>
          <w:sz w:val="22"/>
        </w:rPr>
        <w:t>Physical Plastics Trading Start-Up (Alan Aronowitz)</w:t>
      </w:r>
    </w:p>
    <w:p>
      <w:pPr>
        <w:pStyle w:val="Normal"/>
        <w:numPr>
          <w:ilvl w:val="0"/>
          <w:numId w:val="21"/>
        </w:numPr>
        <w:ind w:hanging="420" w:start="780" w:end="0"/>
        <w:rPr>
          <w:sz w:val="22"/>
        </w:rPr>
      </w:pPr>
      <w:r>
        <w:rPr>
          <w:sz w:val="22"/>
        </w:rPr>
        <w:t>U.S. Customs Self-Audit and Policy Development, and effort to continue U.S. duty drawback legislation (Mike Robison)</w:t>
      </w:r>
    </w:p>
    <w:p>
      <w:pPr>
        <w:pStyle w:val="Normal"/>
        <w:numPr>
          <w:ilvl w:val="0"/>
          <w:numId w:val="21"/>
        </w:numPr>
        <w:tabs>
          <w:tab w:val="left" w:pos="720" w:leader="none"/>
        </w:tabs>
        <w:ind w:hanging="420" w:start="780" w:end="0"/>
        <w:rPr>
          <w:sz w:val="22"/>
        </w:rPr>
      </w:pPr>
      <w:r>
        <w:rPr>
          <w:sz w:val="22"/>
        </w:rPr>
        <w:t>Dabhol Power Company – Enron Fuels International (India) (Mike Robison)</w:t>
      </w:r>
    </w:p>
    <w:p>
      <w:pPr>
        <w:pStyle w:val="Normal"/>
        <w:numPr>
          <w:ilvl w:val="0"/>
          <w:numId w:val="21"/>
        </w:numPr>
        <w:tabs>
          <w:tab w:val="left" w:pos="720" w:leader="none"/>
        </w:tabs>
        <w:ind w:hanging="420" w:start="780" w:end="0"/>
        <w:rPr>
          <w:sz w:val="22"/>
        </w:rPr>
      </w:pPr>
      <w:r>
        <w:rPr>
          <w:sz w:val="22"/>
        </w:rPr>
        <w:t>Master Liquids Purchase &amp; Sale Agreement (Alan Aronowitz/Marcus Nettelton)</w:t>
      </w:r>
    </w:p>
    <w:p>
      <w:pPr>
        <w:pStyle w:val="Normal"/>
        <w:rPr>
          <w:b/>
          <w:bCs/>
          <w:sz w:val="22"/>
        </w:rPr>
      </w:pPr>
      <w:r>
        <w:rPr>
          <w:b/>
          <w:bCs/>
          <w:sz w:val="22"/>
        </w:rPr>
      </w:r>
    </w:p>
    <w:p>
      <w:pPr>
        <w:pStyle w:val="Normal"/>
        <w:rPr>
          <w:b/>
          <w:bCs/>
          <w:sz w:val="22"/>
        </w:rPr>
      </w:pPr>
      <w:r>
        <w:rPr>
          <w:b/>
          <w:bCs/>
          <w:sz w:val="22"/>
        </w:rPr>
        <w:t>Financial Products Trading</w:t>
      </w:r>
    </w:p>
    <w:p>
      <w:pPr>
        <w:pStyle w:val="Normal"/>
        <w:numPr>
          <w:ilvl w:val="0"/>
          <w:numId w:val="17"/>
        </w:numPr>
        <w:rPr>
          <w:sz w:val="22"/>
        </w:rPr>
      </w:pPr>
      <w:r>
        <w:rPr>
          <w:sz w:val="22"/>
        </w:rPr>
        <w:t>Continue to add FX EOL products (Sara Shackleton)</w:t>
      </w:r>
    </w:p>
    <w:p>
      <w:pPr>
        <w:pStyle w:val="Normal"/>
        <w:numPr>
          <w:ilvl w:val="0"/>
          <w:numId w:val="17"/>
        </w:numPr>
        <w:rPr>
          <w:sz w:val="22"/>
        </w:rPr>
      </w:pPr>
      <w:r>
        <w:rPr>
          <w:sz w:val="22"/>
        </w:rPr>
        <w:t>Integrate Tokyo office (Jane McBride)</w:t>
      </w:r>
    </w:p>
    <w:p>
      <w:pPr>
        <w:pStyle w:val="Normal"/>
        <w:numPr>
          <w:ilvl w:val="0"/>
          <w:numId w:val="17"/>
        </w:numPr>
        <w:rPr>
          <w:sz w:val="22"/>
        </w:rPr>
      </w:pPr>
      <w:r>
        <w:rPr>
          <w:sz w:val="22"/>
        </w:rPr>
        <w:t>London Equity Trading (Paul Simons)</w:t>
      </w:r>
    </w:p>
    <w:p>
      <w:pPr>
        <w:pStyle w:val="Normal"/>
        <w:rPr>
          <w:b/>
          <w:bCs/>
          <w:sz w:val="22"/>
        </w:rPr>
      </w:pPr>
      <w:r>
        <w:rPr>
          <w:b/>
          <w:bCs/>
          <w:sz w:val="22"/>
        </w:rPr>
      </w:r>
    </w:p>
    <w:p>
      <w:pPr>
        <w:pStyle w:val="Normal"/>
        <w:rPr>
          <w:b/>
          <w:bCs/>
          <w:sz w:val="22"/>
        </w:rPr>
      </w:pPr>
      <w:r>
        <w:rPr>
          <w:b/>
          <w:bCs/>
          <w:sz w:val="22"/>
        </w:rPr>
        <w:t>Transportation</w:t>
      </w:r>
    </w:p>
    <w:p>
      <w:pPr>
        <w:pStyle w:val="Normal"/>
        <w:numPr>
          <w:ilvl w:val="1"/>
          <w:numId w:val="21"/>
        </w:numPr>
        <w:tabs>
          <w:tab w:val="left" w:pos="360" w:leader="none"/>
          <w:tab w:val="left" w:pos="720" w:leader="none"/>
        </w:tabs>
        <w:ind w:hanging="1140" w:start="1500" w:end="0"/>
        <w:rPr>
          <w:sz w:val="22"/>
        </w:rPr>
      </w:pPr>
      <w:r>
        <w:rPr>
          <w:sz w:val="22"/>
        </w:rPr>
        <w:t>Transportation Capacity Trading Start-Up (Alan Aronowitz/Mark Greenberg)</w:t>
      </w:r>
    </w:p>
    <w:p>
      <w:pPr>
        <w:pStyle w:val="Normal"/>
        <w:tabs>
          <w:tab w:val="left" w:pos="360" w:leader="none"/>
          <w:tab w:val="left" w:pos="720" w:leader="none"/>
        </w:tabs>
        <w:rPr>
          <w:sz w:val="22"/>
        </w:rPr>
      </w:pPr>
      <w:r>
        <w:rPr>
          <w:sz w:val="22"/>
        </w:rPr>
      </w:r>
    </w:p>
    <w:p>
      <w:pPr>
        <w:pStyle w:val="Normal"/>
        <w:keepNext w:val="true"/>
        <w:rPr>
          <w:b/>
          <w:bCs/>
          <w:sz w:val="22"/>
        </w:rPr>
      </w:pPr>
      <w:r>
        <w:rPr>
          <w:b/>
          <w:bCs/>
          <w:sz w:val="22"/>
        </w:rPr>
        <w:t>Agricultural Trading (Sara Shackleton/Bob Bruce)</w:t>
      </w:r>
    </w:p>
    <w:p>
      <w:pPr>
        <w:pStyle w:val="Normal"/>
        <w:keepNext w:val="true"/>
        <w:ind w:start="360" w:end="0"/>
        <w:rPr>
          <w:sz w:val="22"/>
        </w:rPr>
      </w:pPr>
      <w:r>
        <w:rPr>
          <w:sz w:val="22"/>
        </w:rPr>
        <w:t>1.   ATOM licensing (U.S.)</w:t>
      </w:r>
    </w:p>
    <w:p>
      <w:pPr>
        <w:pStyle w:val="Normal"/>
        <w:keepNext w:val="true"/>
        <w:ind w:start="360" w:end="0"/>
        <w:rPr>
          <w:sz w:val="22"/>
        </w:rPr>
      </w:pPr>
      <w:r>
        <w:rPr>
          <w:sz w:val="22"/>
        </w:rPr>
        <w:t>2.</w:t>
        <w:tab/>
        <w:t>CFTC issues (grains, meats)</w:t>
      </w:r>
    </w:p>
    <w:p>
      <w:pPr>
        <w:pStyle w:val="Normal"/>
        <w:keepNext w:val="true"/>
        <w:numPr>
          <w:ilvl w:val="0"/>
          <w:numId w:val="17"/>
        </w:numPr>
        <w:rPr>
          <w:sz w:val="22"/>
        </w:rPr>
      </w:pPr>
      <w:r>
        <w:rPr>
          <w:sz w:val="22"/>
        </w:rPr>
        <w:t>Physical trading structures</w:t>
      </w:r>
    </w:p>
    <w:p>
      <w:pPr>
        <w:pStyle w:val="Normal"/>
        <w:keepNext w:val="true"/>
        <w:numPr>
          <w:ilvl w:val="0"/>
          <w:numId w:val="17"/>
        </w:numPr>
        <w:rPr/>
      </w:pPr>
      <w:r>
        <w:rPr>
          <w:sz w:val="22"/>
        </w:rPr>
        <w:t>Softs trading profile</w:t>
      </w:r>
    </w:p>
    <w:p>
      <w:pPr>
        <w:pStyle w:val="Normal"/>
        <w:keepNext w:val="true"/>
        <w:numPr>
          <w:ilvl w:val="0"/>
          <w:numId w:val="17"/>
        </w:numPr>
        <w:rPr/>
      </w:pPr>
      <w:r>
        <w:rPr/>
        <w:t>Development of financial trade proposals:  UBS/Enron Australia/Macquarie (Sara Shackleton)</w:t>
      </w:r>
    </w:p>
    <w:p>
      <w:pPr>
        <w:pStyle w:val="Normal"/>
        <w:numPr>
          <w:ilvl w:val="0"/>
          <w:numId w:val="17"/>
        </w:numPr>
        <w:rPr/>
      </w:pPr>
      <w:r>
        <w:rPr/>
        <w:t>January target for EOL "soft" (sugar/coffee/cocoa) swaps tied to NYBOT and LIFFE prices (Sara Shackleton)</w:t>
      </w:r>
    </w:p>
    <w:p>
      <w:pPr>
        <w:pStyle w:val="Normal"/>
        <w:keepNext w:val="true"/>
        <w:numPr>
          <w:ilvl w:val="0"/>
          <w:numId w:val="17"/>
        </w:numPr>
        <w:rPr/>
      </w:pPr>
      <w:r>
        <w:rPr/>
        <w:t>Development of prototype grain and meat physical transactions (Sara Shackleton)</w:t>
      </w:r>
    </w:p>
    <w:p>
      <w:pPr>
        <w:pStyle w:val="Normal"/>
        <w:autoSpaceDE w:val="false"/>
        <w:spacing w:lineRule="atLeast" w:line="240"/>
        <w:ind w:firstLine="360" w:end="0"/>
        <w:rPr>
          <w:sz w:val="22"/>
        </w:rPr>
      </w:pPr>
      <w:r>
        <w:rPr/>
        <w:t>9.</w:t>
        <w:tab/>
        <w:t>European agricultural issues (Paul Simons)</w:t>
      </w:r>
    </w:p>
    <w:p>
      <w:pPr>
        <w:pStyle w:val="Normal"/>
        <w:rPr>
          <w:b/>
          <w:bCs/>
          <w:sz w:val="22"/>
        </w:rPr>
      </w:pPr>
      <w:r>
        <w:rPr>
          <w:b/>
          <w:bCs/>
          <w:sz w:val="22"/>
        </w:rPr>
      </w:r>
    </w:p>
    <w:p>
      <w:pPr>
        <w:pStyle w:val="Normal"/>
        <w:rPr>
          <w:b/>
          <w:bCs/>
          <w:sz w:val="22"/>
        </w:rPr>
      </w:pPr>
      <w:r>
        <w:rPr>
          <w:b/>
          <w:bCs/>
          <w:sz w:val="22"/>
        </w:rPr>
        <w:t>Weather (Brent Hendry)</w:t>
      </w:r>
    </w:p>
    <w:p>
      <w:pPr>
        <w:pStyle w:val="Normal"/>
        <w:tabs>
          <w:tab w:val="left" w:pos="360" w:leader="none"/>
          <w:tab w:val="left" w:pos="720" w:leader="none"/>
        </w:tabs>
        <w:autoSpaceDE w:val="false"/>
        <w:spacing w:lineRule="atLeast" w:line="240"/>
        <w:rPr>
          <w:color w:val="000000"/>
          <w:sz w:val="22"/>
        </w:rPr>
      </w:pPr>
      <w:r>
        <w:rPr>
          <w:color w:val="000000"/>
          <w:sz w:val="22"/>
        </w:rPr>
        <w:tab/>
        <w:t>1.</w:t>
        <w:tab/>
        <w:t>3 Year Sacramento Municipal Utility District Precipitation Collar</w:t>
      </w:r>
    </w:p>
    <w:p>
      <w:pPr>
        <w:pStyle w:val="Normal"/>
        <w:tabs>
          <w:tab w:val="clear" w:pos="720"/>
          <w:tab w:val="left" w:pos="360" w:leader="none"/>
        </w:tabs>
        <w:autoSpaceDE w:val="false"/>
        <w:spacing w:lineRule="atLeast" w:line="240"/>
        <w:rPr>
          <w:color w:val="000000"/>
          <w:sz w:val="22"/>
        </w:rPr>
      </w:pPr>
      <w:r>
        <w:rPr>
          <w:color w:val="000000"/>
          <w:sz w:val="22"/>
        </w:rPr>
        <w:tab/>
        <w:t>2.</w:t>
        <w:tab/>
        <w:t>ELRiX online weather trading site and documentation</w:t>
      </w:r>
    </w:p>
    <w:p>
      <w:pPr>
        <w:pStyle w:val="Normal"/>
        <w:rPr>
          <w:b/>
          <w:bCs/>
          <w:color w:val="000000"/>
          <w:sz w:val="22"/>
        </w:rPr>
      </w:pPr>
      <w:r>
        <w:rPr>
          <w:b/>
          <w:bCs/>
          <w:color w:val="000000"/>
          <w:sz w:val="22"/>
        </w:rPr>
      </w:r>
    </w:p>
    <w:p>
      <w:pPr>
        <w:pStyle w:val="Normal"/>
        <w:keepNext w:val="true"/>
        <w:keepLines/>
        <w:rPr>
          <w:b/>
          <w:bCs/>
          <w:sz w:val="22"/>
        </w:rPr>
      </w:pPr>
      <w:r>
        <w:rPr>
          <w:b/>
          <w:bCs/>
          <w:sz w:val="22"/>
        </w:rPr>
        <w:t>Insurance (Lou Stoler)</w:t>
      </w:r>
    </w:p>
    <w:p>
      <w:pPr>
        <w:pStyle w:val="Header"/>
        <w:keepNext w:val="true"/>
        <w:keepLines/>
        <w:numPr>
          <w:ilvl w:val="0"/>
          <w:numId w:val="5"/>
        </w:numPr>
        <w:tabs>
          <w:tab w:val="clear" w:pos="4320"/>
          <w:tab w:val="clear" w:pos="8640"/>
          <w:tab w:val="left" w:pos="360" w:leader="none"/>
          <w:tab w:val="left" w:pos="720" w:leader="none"/>
        </w:tabs>
        <w:ind w:hanging="0" w:start="360" w:end="0"/>
        <w:rPr>
          <w:sz w:val="22"/>
        </w:rPr>
      </w:pPr>
      <w:r>
        <w:rPr>
          <w:sz w:val="22"/>
        </w:rPr>
        <w:t>Peaker Project (term financing with insurance credit wrap)</w:t>
      </w:r>
    </w:p>
    <w:p>
      <w:pPr>
        <w:pStyle w:val="Normal"/>
        <w:keepNext w:val="true"/>
        <w:keepLines/>
        <w:numPr>
          <w:ilvl w:val="0"/>
          <w:numId w:val="5"/>
        </w:numPr>
        <w:ind w:hanging="0" w:start="360" w:end="0"/>
        <w:rPr>
          <w:sz w:val="22"/>
        </w:rPr>
      </w:pPr>
      <w:r>
        <w:rPr>
          <w:sz w:val="22"/>
        </w:rPr>
        <w:t>Enron Re (development projects)</w:t>
      </w:r>
    </w:p>
    <w:p>
      <w:pPr>
        <w:pStyle w:val="Normal"/>
        <w:keepNext w:val="true"/>
        <w:keepLines/>
        <w:numPr>
          <w:ilvl w:val="0"/>
          <w:numId w:val="5"/>
        </w:numPr>
        <w:ind w:hanging="0" w:start="360" w:end="0"/>
        <w:rPr>
          <w:sz w:val="22"/>
        </w:rPr>
      </w:pPr>
      <w:r>
        <w:rPr>
          <w:sz w:val="22"/>
        </w:rPr>
        <w:t>Pioneer (upstream acquistion with insurance credit wrap)</w:t>
      </w:r>
    </w:p>
    <w:p>
      <w:pPr>
        <w:pStyle w:val="Normal"/>
        <w:keepNext w:val="true"/>
        <w:keepLines/>
        <w:numPr>
          <w:ilvl w:val="0"/>
          <w:numId w:val="5"/>
        </w:numPr>
        <w:ind w:hanging="0" w:start="360" w:end="0"/>
        <w:rPr>
          <w:sz w:val="22"/>
        </w:rPr>
      </w:pPr>
      <w:r>
        <w:rPr>
          <w:sz w:val="22"/>
        </w:rPr>
        <w:t>Turbopark (residual value policy)</w:t>
      </w:r>
    </w:p>
    <w:p>
      <w:pPr>
        <w:pStyle w:val="Normal"/>
        <w:keepNext w:val="true"/>
        <w:keepLines/>
        <w:rPr>
          <w:sz w:val="22"/>
        </w:rPr>
      </w:pPr>
      <w:r>
        <w:rPr>
          <w:sz w:val="22"/>
        </w:rPr>
      </w:r>
    </w:p>
    <w:p>
      <w:pPr>
        <w:pStyle w:val="Heading2"/>
        <w:rPr/>
      </w:pPr>
      <w:r>
        <w:rPr/>
        <w:t>LNG</w:t>
      </w:r>
    </w:p>
    <w:p>
      <w:pPr>
        <w:pStyle w:val="Normal"/>
        <w:numPr>
          <w:ilvl w:val="0"/>
          <w:numId w:val="3"/>
        </w:numPr>
        <w:jc w:val="both"/>
        <w:rPr>
          <w:sz w:val="22"/>
        </w:rPr>
      </w:pPr>
      <w:r>
        <w:rPr>
          <w:sz w:val="22"/>
        </w:rPr>
        <w:t>Jose [Venezuela] LNG Export Facility (Ned Crady/Nancy Corbet)</w:t>
      </w:r>
    </w:p>
    <w:p>
      <w:pPr>
        <w:pStyle w:val="Normal"/>
        <w:numPr>
          <w:ilvl w:val="0"/>
          <w:numId w:val="3"/>
        </w:numPr>
        <w:jc w:val="both"/>
        <w:rPr>
          <w:sz w:val="22"/>
        </w:rPr>
      </w:pPr>
      <w:r>
        <w:rPr>
          <w:sz w:val="22"/>
        </w:rPr>
        <w:t>LNG Sale to El Paso Marketing [Elba Island, Georgia Receiving Terminal] (Nancy Corbet)</w:t>
      </w:r>
    </w:p>
    <w:p>
      <w:pPr>
        <w:pStyle w:val="Normal"/>
        <w:numPr>
          <w:ilvl w:val="0"/>
          <w:numId w:val="3"/>
        </w:numPr>
        <w:jc w:val="both"/>
        <w:rPr>
          <w:sz w:val="22"/>
        </w:rPr>
      </w:pPr>
      <w:r>
        <w:rPr>
          <w:sz w:val="22"/>
        </w:rPr>
        <w:t>EcoElectrica [Puerto Rico] LNG Receiving &amp; Regasification Terminal/Power Plant (Coralina Rivera)</w:t>
      </w:r>
    </w:p>
    <w:p>
      <w:pPr>
        <w:pStyle w:val="Normal"/>
        <w:numPr>
          <w:ilvl w:val="0"/>
          <w:numId w:val="3"/>
        </w:numPr>
        <w:jc w:val="both"/>
        <w:rPr>
          <w:sz w:val="22"/>
        </w:rPr>
      </w:pPr>
      <w:r>
        <w:rPr>
          <w:sz w:val="22"/>
        </w:rPr>
        <w:t>EcoElectrica [Puerto Rico] LNG Receiving Terminal Expansion/Gas Distribution (Coralina Rivera)</w:t>
      </w:r>
    </w:p>
    <w:p>
      <w:pPr>
        <w:pStyle w:val="Normal"/>
        <w:numPr>
          <w:ilvl w:val="0"/>
          <w:numId w:val="3"/>
        </w:numPr>
        <w:jc w:val="both"/>
        <w:rPr>
          <w:sz w:val="22"/>
        </w:rPr>
      </w:pPr>
      <w:r>
        <w:rPr>
          <w:sz w:val="22"/>
        </w:rPr>
        <w:t>Bahamas LNG Receiving Terminal/Export Pipeline (Ned Crady)</w:t>
      </w:r>
    </w:p>
    <w:p>
      <w:pPr>
        <w:pStyle w:val="Normal"/>
        <w:numPr>
          <w:ilvl w:val="0"/>
          <w:numId w:val="3"/>
        </w:numPr>
        <w:jc w:val="both"/>
        <w:rPr>
          <w:sz w:val="22"/>
        </w:rPr>
      </w:pPr>
      <w:r>
        <w:rPr>
          <w:sz w:val="22"/>
        </w:rPr>
        <w:t>South Florida [Tampa] LNG Receiving Terminal (Ned Crady)</w:t>
      </w:r>
    </w:p>
    <w:p>
      <w:pPr>
        <w:pStyle w:val="Normal"/>
        <w:numPr>
          <w:ilvl w:val="0"/>
          <w:numId w:val="3"/>
        </w:numPr>
        <w:jc w:val="both"/>
        <w:rPr>
          <w:sz w:val="22"/>
        </w:rPr>
      </w:pPr>
      <w:r>
        <w:rPr>
          <w:sz w:val="22"/>
        </w:rPr>
        <w:t>Dominican Republic LNG Receiving Terminal/Power Plant (Coralina Rivera)</w:t>
      </w:r>
    </w:p>
    <w:p>
      <w:pPr>
        <w:pStyle w:val="Normal"/>
        <w:numPr>
          <w:ilvl w:val="0"/>
          <w:numId w:val="3"/>
        </w:numPr>
        <w:jc w:val="both"/>
        <w:rPr>
          <w:sz w:val="22"/>
        </w:rPr>
      </w:pPr>
      <w:r>
        <w:rPr>
          <w:sz w:val="22"/>
        </w:rPr>
        <w:t>MetGas/Enron Energy Marketing [Dabhol, India] LNG Fuel Supply &amp; Fuel Management (Dan Rogers/Nancy Corbet)</w:t>
      </w:r>
    </w:p>
    <w:p>
      <w:pPr>
        <w:pStyle w:val="Normal"/>
        <w:numPr>
          <w:ilvl w:val="0"/>
          <w:numId w:val="3"/>
        </w:numPr>
        <w:jc w:val="both"/>
        <w:rPr>
          <w:sz w:val="22"/>
        </w:rPr>
      </w:pPr>
      <w:r>
        <w:rPr>
          <w:sz w:val="22"/>
        </w:rPr>
        <w:t>Dabhol IPP Phase II LNG Fuel Supply &amp; Fuel Management (Dan Rogers)</w:t>
      </w:r>
    </w:p>
    <w:p>
      <w:pPr>
        <w:pStyle w:val="Normal"/>
        <w:numPr>
          <w:ilvl w:val="0"/>
          <w:numId w:val="3"/>
        </w:numPr>
        <w:jc w:val="both"/>
        <w:rPr>
          <w:sz w:val="22"/>
        </w:rPr>
      </w:pPr>
      <w:r>
        <w:rPr>
          <w:sz w:val="22"/>
        </w:rPr>
        <w:t>Australia LNG Fuel Origination/Merchant Trading (Nancy Corbet)</w:t>
      </w:r>
    </w:p>
    <w:p>
      <w:pPr>
        <w:pStyle w:val="Normal"/>
        <w:numPr>
          <w:ilvl w:val="0"/>
          <w:numId w:val="3"/>
        </w:numPr>
        <w:jc w:val="both"/>
        <w:rPr>
          <w:sz w:val="22"/>
        </w:rPr>
      </w:pPr>
      <w:r>
        <w:rPr>
          <w:sz w:val="22"/>
        </w:rPr>
        <w:t>Japan LNG Receiving Terminal (Nancy Corbet)</w:t>
      </w:r>
    </w:p>
    <w:p>
      <w:pPr>
        <w:pStyle w:val="Normal"/>
        <w:numPr>
          <w:ilvl w:val="0"/>
          <w:numId w:val="3"/>
        </w:numPr>
        <w:jc w:val="both"/>
        <w:rPr>
          <w:sz w:val="22"/>
        </w:rPr>
      </w:pPr>
      <w:r>
        <w:rPr>
          <w:sz w:val="22"/>
        </w:rPr>
        <w:t>AdGas [Abu Dhabi] Mid-Term LNG Fuel Origination/Merchant Trading (Dan Rogers)</w:t>
      </w:r>
    </w:p>
    <w:p>
      <w:pPr>
        <w:pStyle w:val="Normal"/>
        <w:numPr>
          <w:ilvl w:val="0"/>
          <w:numId w:val="3"/>
        </w:numPr>
        <w:jc w:val="both"/>
        <w:rPr>
          <w:sz w:val="22"/>
        </w:rPr>
      </w:pPr>
      <w:r>
        <w:rPr>
          <w:sz w:val="22"/>
        </w:rPr>
        <w:t>Spot LNG Fuel Origination/Merchant Trading (Dan Rogers)</w:t>
      </w:r>
    </w:p>
    <w:p>
      <w:pPr>
        <w:pStyle w:val="Normal"/>
        <w:numPr>
          <w:ilvl w:val="0"/>
          <w:numId w:val="3"/>
        </w:numPr>
        <w:jc w:val="both"/>
        <w:rPr>
          <w:sz w:val="22"/>
        </w:rPr>
      </w:pPr>
      <w:r>
        <w:rPr>
          <w:sz w:val="22"/>
        </w:rPr>
        <w:t>Tokyo Gas Master LNG Backhaul Capacity Transportation Agreement (Dan Rogers/Nancy Corbet)</w:t>
      </w:r>
    </w:p>
    <w:p>
      <w:pPr>
        <w:pStyle w:val="Normal"/>
        <w:numPr>
          <w:ilvl w:val="0"/>
          <w:numId w:val="3"/>
        </w:numPr>
        <w:jc w:val="both"/>
        <w:rPr>
          <w:sz w:val="22"/>
        </w:rPr>
      </w:pPr>
      <w:r>
        <w:rPr>
          <w:sz w:val="22"/>
        </w:rPr>
        <w:t>AdGas [Abu Dhabi] Master LNG Backhaul Capacity Transportation Agreement (Dan Rogers)</w:t>
      </w:r>
    </w:p>
    <w:p>
      <w:pPr>
        <w:pStyle w:val="Normal"/>
        <w:numPr>
          <w:ilvl w:val="0"/>
          <w:numId w:val="3"/>
        </w:numPr>
        <w:jc w:val="both"/>
        <w:rPr>
          <w:sz w:val="22"/>
        </w:rPr>
      </w:pPr>
      <w:r>
        <w:rPr>
          <w:sz w:val="22"/>
        </w:rPr>
        <w:t>Domestic [US] LNG Import Matters (Dan Rogers/Nancy Corbet)</w:t>
      </w:r>
    </w:p>
    <w:p>
      <w:pPr>
        <w:pStyle w:val="Normal"/>
        <w:numPr>
          <w:ilvl w:val="0"/>
          <w:numId w:val="3"/>
        </w:numPr>
        <w:jc w:val="both"/>
        <w:rPr>
          <w:sz w:val="22"/>
        </w:rPr>
      </w:pPr>
      <w:r>
        <w:rPr>
          <w:sz w:val="22"/>
        </w:rPr>
        <w:t>Nigeria LNG Master Spot LNG Sale &amp; Purchase Agreement (Nancy Corbet)</w:t>
      </w:r>
    </w:p>
    <w:p>
      <w:pPr>
        <w:pStyle w:val="Normal"/>
        <w:numPr>
          <w:ilvl w:val="0"/>
          <w:numId w:val="3"/>
        </w:numPr>
        <w:jc w:val="both"/>
        <w:rPr>
          <w:sz w:val="22"/>
        </w:rPr>
      </w:pPr>
      <w:r>
        <w:rPr>
          <w:sz w:val="22"/>
        </w:rPr>
        <w:t>Malaysia LNG Master Spot LNG Sale &amp; Purchase Agreement (Nancy Corbet)</w:t>
      </w:r>
    </w:p>
    <w:p>
      <w:pPr>
        <w:pStyle w:val="Normal"/>
        <w:numPr>
          <w:ilvl w:val="0"/>
          <w:numId w:val="3"/>
        </w:numPr>
        <w:jc w:val="both"/>
        <w:rPr>
          <w:sz w:val="22"/>
        </w:rPr>
      </w:pPr>
      <w:r>
        <w:rPr>
          <w:sz w:val="22"/>
        </w:rPr>
        <w:t>Enron LNG Information Exchange (Dan Rogers/Nancy Corbet)</w:t>
      </w:r>
    </w:p>
    <w:p>
      <w:pPr>
        <w:pStyle w:val="Normal"/>
        <w:ind w:hanging="360" w:end="0"/>
        <w:jc w:val="both"/>
        <w:rPr>
          <w:sz w:val="22"/>
        </w:rPr>
      </w:pPr>
      <w:r>
        <w:rPr>
          <w:sz w:val="22"/>
        </w:rPr>
        <w:t xml:space="preserve"> </w:t>
      </w:r>
    </w:p>
    <w:p>
      <w:pPr>
        <w:pStyle w:val="Heading2"/>
        <w:rPr/>
      </w:pPr>
      <w:r>
        <w:rPr/>
        <w:t>Middle East</w:t>
      </w:r>
    </w:p>
    <w:p>
      <w:pPr>
        <w:pStyle w:val="Normal"/>
        <w:numPr>
          <w:ilvl w:val="0"/>
          <w:numId w:val="14"/>
        </w:numPr>
        <w:jc w:val="both"/>
        <w:rPr>
          <w:sz w:val="22"/>
        </w:rPr>
      </w:pPr>
      <w:r>
        <w:rPr>
          <w:sz w:val="22"/>
        </w:rPr>
        <w:t>Project Dolphin [Qatar-UAE-Oman] (Dan Rogers/Johan Gerrese)</w:t>
      </w:r>
    </w:p>
    <w:p>
      <w:pPr>
        <w:pStyle w:val="Normal"/>
        <w:numPr>
          <w:ilvl w:val="0"/>
          <w:numId w:val="14"/>
        </w:numPr>
        <w:jc w:val="both"/>
        <w:rPr>
          <w:sz w:val="22"/>
        </w:rPr>
      </w:pPr>
      <w:r>
        <w:rPr>
          <w:sz w:val="22"/>
        </w:rPr>
        <w:t>Project Atlantis [UAE] (Todd Culwell/Johan Gerrese)</w:t>
      </w:r>
    </w:p>
    <w:p>
      <w:pPr>
        <w:pStyle w:val="Normal"/>
        <w:numPr>
          <w:ilvl w:val="0"/>
          <w:numId w:val="14"/>
        </w:numPr>
        <w:jc w:val="both"/>
        <w:rPr>
          <w:sz w:val="22"/>
        </w:rPr>
      </w:pPr>
      <w:r>
        <w:rPr>
          <w:sz w:val="22"/>
        </w:rPr>
        <w:t>Saudi Arabia Gas Development (Dan Rogers)</w:t>
      </w:r>
    </w:p>
    <w:p>
      <w:pPr>
        <w:pStyle w:val="Normal"/>
        <w:numPr>
          <w:ilvl w:val="0"/>
          <w:numId w:val="14"/>
        </w:numPr>
        <w:jc w:val="both"/>
        <w:rPr>
          <w:sz w:val="22"/>
        </w:rPr>
      </w:pPr>
      <w:r>
        <w:rPr>
          <w:sz w:val="22"/>
        </w:rPr>
        <w:t>Oman Gas Distribution (Johan Gerrese/Todd Culwell)</w:t>
      </w:r>
    </w:p>
    <w:p>
      <w:pPr>
        <w:pStyle w:val="Normal"/>
        <w:numPr>
          <w:ilvl w:val="0"/>
          <w:numId w:val="14"/>
        </w:numPr>
        <w:jc w:val="both"/>
        <w:rPr>
          <w:sz w:val="22"/>
        </w:rPr>
      </w:pPr>
      <w:r>
        <w:rPr>
          <w:sz w:val="22"/>
        </w:rPr>
        <w:t>Egypt-Jordan Gas Pipeline (Johan Gerrese)</w:t>
      </w:r>
    </w:p>
    <w:p>
      <w:pPr>
        <w:pStyle w:val="Normal"/>
        <w:numPr>
          <w:ilvl w:val="0"/>
          <w:numId w:val="14"/>
        </w:numPr>
        <w:jc w:val="both"/>
        <w:rPr>
          <w:sz w:val="22"/>
        </w:rPr>
      </w:pPr>
      <w:r>
        <w:rPr>
          <w:sz w:val="22"/>
        </w:rPr>
        <w:t>Gaza [Palestine] 140 MW IPP Sell-Down (Dan Rogers/Todd Culwell)</w:t>
      </w:r>
    </w:p>
    <w:p>
      <w:pPr>
        <w:pStyle w:val="Normal"/>
        <w:numPr>
          <w:ilvl w:val="0"/>
          <w:numId w:val="14"/>
        </w:numPr>
        <w:jc w:val="both"/>
        <w:rPr>
          <w:sz w:val="22"/>
        </w:rPr>
      </w:pPr>
      <w:r>
        <w:rPr>
          <w:sz w:val="22"/>
        </w:rPr>
        <w:t>Tabreed District Cooling [UAE] (Johan Gerrese)</w:t>
      </w:r>
    </w:p>
    <w:p>
      <w:pPr>
        <w:pStyle w:val="Normal"/>
        <w:numPr>
          <w:ilvl w:val="0"/>
          <w:numId w:val="14"/>
        </w:numPr>
        <w:jc w:val="both"/>
        <w:rPr>
          <w:sz w:val="22"/>
        </w:rPr>
      </w:pPr>
      <w:r>
        <w:rPr>
          <w:sz w:val="22"/>
        </w:rPr>
        <w:t>Sadaf 340 MW IPP [Saudi Arabia] (Johan Gerrese/Todd Culwell)</w:t>
      </w:r>
    </w:p>
    <w:p>
      <w:pPr>
        <w:pStyle w:val="Normal"/>
        <w:numPr>
          <w:ilvl w:val="0"/>
          <w:numId w:val="14"/>
        </w:numPr>
        <w:jc w:val="both"/>
        <w:rPr>
          <w:sz w:val="22"/>
        </w:rPr>
      </w:pPr>
      <w:r>
        <w:rPr>
          <w:sz w:val="22"/>
        </w:rPr>
        <w:t>Syria Power Trading (Johan Gerrese)</w:t>
      </w:r>
    </w:p>
    <w:p>
      <w:pPr>
        <w:pStyle w:val="Normal"/>
        <w:ind w:start="360" w:end="0"/>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2160"/>
        </w:tabs>
        <w:ind w:start="2160" w:hanging="360"/>
      </w:pPr>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1">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80"/>
        </w:tabs>
        <w:ind w:start="780" w:hanging="4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decimal"/>
      <w:lvlText w:val="%1."/>
      <w:lvlJc w:val="start"/>
      <w:pPr>
        <w:tabs>
          <w:tab w:val="num" w:pos="1080"/>
        </w:tabs>
        <w:ind w:start="1080" w:hanging="360"/>
      </w:pPr>
      <w:rPr/>
    </w:lvl>
  </w:abstractNum>
  <w:abstractNum w:abstractNumId="16">
    <w:lvl w:ilvl="0">
      <w:start w:val="1"/>
      <w:numFmt w:val="decimal"/>
      <w:lvlText w:val="%1."/>
      <w:lvlJc w:val="start"/>
      <w:pPr>
        <w:tabs>
          <w:tab w:val="num" w:pos="780"/>
        </w:tabs>
        <w:ind w:start="780" w:hanging="420"/>
      </w:pPr>
      <w:rPr/>
    </w:lvl>
  </w:abstractNum>
  <w:abstractNum w:abstractNumId="17">
    <w:lvl w:ilvl="0">
      <w:start w:val="1"/>
      <w:numFmt w:val="decimal"/>
      <w:lvlText w:val="%1."/>
      <w:lvlJc w:val="start"/>
      <w:pPr>
        <w:tabs>
          <w:tab w:val="num" w:pos="720"/>
        </w:tabs>
        <w:ind w:start="720" w:hanging="360"/>
      </w:pPr>
    </w:lvl>
  </w:abstractNum>
  <w:abstractNum w:abstractNumId="18">
    <w:lvl w:ilvl="0">
      <w:start w:val="1"/>
      <w:numFmt w:val="decimal"/>
      <w:lvlText w:val="%1."/>
      <w:lvlJc w:val="start"/>
      <w:pPr>
        <w:tabs>
          <w:tab w:val="num" w:pos="720"/>
        </w:tabs>
        <w:ind w:start="720" w:hanging="360"/>
      </w:pPr>
      <w:rPr/>
    </w:lvl>
  </w:abstractNum>
  <w:abstractNum w:abstractNumId="19">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decimal"/>
      <w:lvlText w:val="%1."/>
      <w:lvlJc w:val="start"/>
      <w:pPr>
        <w:tabs>
          <w:tab w:val="num" w:pos="720"/>
        </w:tabs>
        <w:ind w:start="780" w:hanging="360"/>
      </w:pPr>
      <w:rPr/>
    </w:lvl>
    <w:lvl w:ilvl="1">
      <w:start w:val="1"/>
      <w:numFmt w:val="decimal"/>
      <w:lvlText w:val="%2."/>
      <w:lvlJc w:val="start"/>
      <w:pPr>
        <w:tabs>
          <w:tab w:val="num" w:pos="720"/>
        </w:tabs>
        <w:ind w:start="1500" w:hanging="360"/>
      </w:pPr>
      <w:r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2">
    <w:lvl w:ilvl="0">
      <w:start w:val="1"/>
      <w:numFmt w:val="bullet"/>
      <w:lvlText w:val=""/>
      <w:lvlJc w:val="start"/>
      <w:pPr>
        <w:tabs>
          <w:tab w:val="num" w:pos="360"/>
        </w:tabs>
        <w:ind w:start="1080" w:hanging="360"/>
      </w:pPr>
      <w:rPr>
        <w:rFonts w:ascii="Symbol" w:hAnsi="Symbol" w:cs="Symbol" w:hint="default"/>
      </w:rPr>
    </w:lvl>
  </w:abstractNum>
  <w:abstractNum w:abstractNumId="2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tabs>
        <w:tab w:val="left" w:pos="720" w:leader="none"/>
        <w:tab w:val="left" w:pos="5106" w:leader="none"/>
        <w:tab w:val="left" w:pos="7254" w:leader="none"/>
      </w:tabs>
      <w:ind w:hanging="0" w:start="720" w:end="0"/>
      <w:outlineLvl w:val="0"/>
    </w:pPr>
    <w:rPr>
      <w:b/>
      <w:sz w:val="22"/>
      <w:szCs w:val="20"/>
      <w:u w:val="single"/>
    </w:rPr>
  </w:style>
  <w:style w:type="paragraph" w:styleId="Heading2">
    <w:name w:val="heading 2"/>
    <w:basedOn w:val="Normal"/>
    <w:next w:val="Normal"/>
    <w:qFormat/>
    <w:pPr>
      <w:keepNext w:val="true"/>
      <w:widowControl w:val="false"/>
      <w:numPr>
        <w:ilvl w:val="1"/>
        <w:numId w:val="1"/>
      </w:numPr>
      <w:tabs>
        <w:tab w:val="clear" w:pos="720"/>
        <w:tab w:val="left" w:pos="5106" w:leader="none"/>
        <w:tab w:val="left" w:pos="7254" w:leader="none"/>
      </w:tabs>
      <w:ind w:hanging="0" w:start="720" w:end="0"/>
      <w:outlineLvl w:val="1"/>
    </w:pPr>
    <w:rPr>
      <w:sz w:val="22"/>
      <w:szCs w:val="20"/>
      <w:u w:val="single"/>
    </w:rPr>
  </w:style>
  <w:style w:type="paragraph" w:styleId="Heading3">
    <w:name w:val="heading 3"/>
    <w:basedOn w:val="Normal"/>
    <w:next w:val="Normal"/>
    <w:qFormat/>
    <w:pPr>
      <w:keepNext w:val="true"/>
      <w:numPr>
        <w:ilvl w:val="2"/>
        <w:numId w:val="1"/>
      </w:numPr>
      <w:tabs>
        <w:tab w:val="clear" w:pos="720"/>
        <w:tab w:val="left" w:pos="1344" w:leader="none"/>
        <w:tab w:val="left" w:pos="5106" w:leader="none"/>
        <w:tab w:val="left" w:pos="7254" w:leader="none"/>
      </w:tabs>
      <w:jc w:val="center"/>
      <w:outlineLvl w:val="2"/>
    </w:pPr>
    <w:rPr>
      <w:b/>
      <w:bCs/>
      <w:sz w:val="22"/>
      <w:szCs w:val="2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left" w:pos="720" w:leader="none"/>
        <w:tab w:val="left" w:pos="5106" w:leader="none"/>
        <w:tab w:val="left" w:pos="7254" w:leader="none"/>
      </w:tabs>
      <w:spacing w:before="60" w:after="0"/>
      <w:outlineLvl w:val="4"/>
    </w:pPr>
    <w:rPr>
      <w:b/>
      <w:bCs/>
      <w:sz w:val="22"/>
      <w:szCs w:val="20"/>
      <w:u w:val="single"/>
    </w:rPr>
  </w:style>
  <w:style w:type="paragraph" w:styleId="Heading6">
    <w:name w:val="heading 6"/>
    <w:basedOn w:val="Normal"/>
    <w:next w:val="Normal"/>
    <w:qFormat/>
    <w:pPr>
      <w:keepNext w:val="true"/>
      <w:numPr>
        <w:ilvl w:val="5"/>
        <w:numId w:val="1"/>
      </w:numPr>
      <w:tabs>
        <w:tab w:val="clear" w:pos="720"/>
        <w:tab w:val="left" w:pos="540" w:leader="none"/>
      </w:tabs>
      <w:outlineLvl w:val="5"/>
    </w:pPr>
    <w:rPr>
      <w:rFonts w:ascii="Arial" w:hAnsi="Arial" w:cs="Arial"/>
      <w:i/>
      <w:sz w:val="20"/>
      <w:szCs w:val="20"/>
      <w:lang w:val="en-GB"/>
    </w:rPr>
  </w:style>
  <w:style w:type="paragraph" w:styleId="Heading7">
    <w:name w:val="heading 7"/>
    <w:basedOn w:val="Normal"/>
    <w:next w:val="Normal"/>
    <w:qFormat/>
    <w:pPr>
      <w:keepNext w:val="true"/>
      <w:widowControl w:val="false"/>
      <w:numPr>
        <w:ilvl w:val="6"/>
        <w:numId w:val="1"/>
      </w:numPr>
      <w:jc w:val="both"/>
      <w:outlineLvl w:val="6"/>
    </w:pPr>
    <w:rPr>
      <w:rFonts w:ascii="Tms Rmn;Times New Roman" w:hAnsi="Tms Rmn;Times New Roman" w:cs="Tms Rmn;Times New Roman"/>
      <w:b/>
      <w:i/>
      <w:sz w:val="20"/>
      <w:szCs w:val="20"/>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style>
  <w:style w:type="character" w:styleId="WW8Num53z0">
    <w:name w:val="WW8Num53z0"/>
    <w:qFormat/>
    <w:rPr/>
  </w:style>
  <w:style w:type="character" w:styleId="WW8Num59z0">
    <w:name w:val="WW8Num59z0"/>
    <w:qFormat/>
    <w:rPr/>
  </w:style>
  <w:style w:type="character" w:styleId="WW8Num61z0">
    <w:name w:val="WW8Num61z0"/>
    <w:qFormat/>
    <w:rPr/>
  </w:style>
  <w:style w:type="character" w:styleId="WW8Num65z0">
    <w:name w:val="WW8Num65z0"/>
    <w:qFormat/>
    <w:rPr>
      <w:rFonts w:ascii="Tms Rmn;Times New Roman" w:hAnsi="Tms Rmn;Times New Roman" w:cs="Tms Rmn;Times New Roman"/>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8z0">
    <w:name w:val="WW8Num88z0"/>
    <w:qFormat/>
    <w:rPr/>
  </w:style>
  <w:style w:type="character" w:styleId="WW8Num90z0">
    <w:name w:val="WW8Num90z0"/>
    <w:qFormat/>
    <w:rPr/>
  </w:style>
  <w:style w:type="character" w:styleId="WW8Num90z1">
    <w:name w:val="WW8Num90z1"/>
    <w:qFormat/>
    <w:rPr>
      <w:rFonts w:ascii="Times New Roman" w:hAnsi="Times New Roman" w:eastAsia="Times New Roman" w:cs="Times New Roman"/>
    </w:rPr>
  </w:style>
  <w:style w:type="character" w:styleId="WW8Num91z0">
    <w:name w:val="WW8Num91z0"/>
    <w:qFormat/>
    <w:rPr/>
  </w:style>
  <w:style w:type="character" w:styleId="WW8Num92z1">
    <w:name w:val="WW8Num92z1"/>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2z0">
    <w:name w:val="WW8NumSt8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pPr>
    <w:rPr>
      <w:rFonts w:ascii="Arial" w:hAnsi="Arial" w:cs="Arial"/>
      <w:b/>
      <w:szCs w:val="20"/>
    </w:rPr>
  </w:style>
  <w:style w:type="paragraph" w:styleId="BodyText">
    <w:name w:val="Body Text"/>
    <w:basedOn w:val="Normal"/>
    <w:pPr>
      <w:widowControl w:val="false"/>
      <w:jc w:val="both"/>
    </w:pPr>
    <w:rPr>
      <w:rFonts w:ascii="Tms Rmn;Times New Roman" w:hAnsi="Tms Rmn;Times New Roman" w:cs="Tms Rmn;Times New Roman"/>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widowControl w:val="false"/>
    </w:pPr>
    <w:rPr>
      <w:rFonts w:ascii="Tms Rmn;Times New Roman" w:hAnsi="Tms Rmn;Times New Roman" w:cs="Tms Rmn;Times New Roman"/>
      <w:sz w:val="20"/>
      <w:szCs w:val="20"/>
    </w:rPr>
  </w:style>
  <w:style w:type="paragraph" w:styleId="Body">
    <w:name w:val="Body"/>
    <w:basedOn w:val="Normal"/>
    <w:qFormat/>
    <w:pPr>
      <w:ind w:hanging="0" w:start="72" w:end="0"/>
    </w:pPr>
    <w:rPr>
      <w:rFonts w:ascii="Arial" w:hAnsi="Arial" w:cs="Arial"/>
      <w:color w:val="000080"/>
      <w:sz w:val="20"/>
      <w:szCs w:val="20"/>
      <w:lang w:val="en-GB"/>
    </w:rPr>
  </w:style>
  <w:style w:type="paragraph" w:styleId="Subject">
    <w:name w:val="Subject"/>
    <w:basedOn w:val="Normal"/>
    <w:qFormat/>
    <w:pPr/>
    <w:rPr>
      <w:rFonts w:ascii="Arial" w:hAnsi="Arial" w:cs="Arial"/>
      <w:sz w:val="20"/>
      <w:szCs w:val="20"/>
      <w:lang w:val="en-GB"/>
    </w:rPr>
  </w:style>
  <w:style w:type="paragraph" w:styleId="Footer">
    <w:name w:val="footer"/>
    <w:basedOn w:val="Normal"/>
    <w:pPr>
      <w:widowControl w:val="false"/>
      <w:tabs>
        <w:tab w:val="clear" w:pos="720"/>
        <w:tab w:val="center" w:pos="4320" w:leader="none"/>
        <w:tab w:val="right" w:pos="8640" w:leader="none"/>
      </w:tabs>
    </w:pPr>
    <w:rPr>
      <w:rFonts w:ascii="Tms Rmn;Times New Roman" w:hAnsi="Tms Rmn;Times New Roman" w:cs="Tms Rmn;Times New Roman"/>
      <w:sz w:val="20"/>
      <w:szCs w:val="20"/>
    </w:rPr>
  </w:style>
  <w:style w:type="paragraph" w:styleId="BodyTextIndent">
    <w:name w:val="Body Text Indent"/>
    <w:basedOn w:val="Normal"/>
    <w:pPr>
      <w:tabs>
        <w:tab w:val="clear" w:pos="720"/>
        <w:tab w:val="left" w:pos="1080" w:leader="none"/>
      </w:tabs>
      <w:ind w:hanging="360" w:start="1080" w:end="0"/>
      <w:jc w:val="both"/>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2000-11-27T17:12:00Z</dcterms:created>
  <dc:creator>jelbert</dc:creator>
  <dc:description/>
  <dc:language>en-CA</dc:language>
  <cp:lastModifiedBy>jelbert</cp:lastModifiedBy>
  <cp:lastPrinted>2000-11-27T15:46:00Z</cp:lastPrinted>
  <dcterms:modified xsi:type="dcterms:W3CDTF">2000-12-13T15:24:00Z</dcterms:modified>
  <cp:revision>12</cp:revision>
  <dc:subject/>
  <dc:title>Enron Wholesale Services - Legal Department</dc:title>
</cp:coreProperties>
</file>