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spacing w:lineRule="exact" w:line="240"/>
        <w:jc w:val="center"/>
        <w:rPr>
          <w:rFonts w:ascii="Times New Roman" w:hAnsi="Times New Roman" w:cs="Times New Roman"/>
          <w:b/>
          <w:sz w:val="24"/>
        </w:rPr>
      </w:pPr>
      <w:r>
        <w:rPr>
          <w:rFonts w:cs="Times New Roman" w:ascii="Times New Roman" w:hAnsi="Times New Roman"/>
          <w:b/>
          <w:sz w:val="24"/>
        </w:rPr>
        <w:t>Enron Wholesale Services - Legal Department</w:t>
      </w:r>
    </w:p>
    <w:p>
      <w:pPr>
        <w:pStyle w:val="Heading3"/>
        <w:spacing w:lineRule="exact" w:line="240"/>
        <w:ind w:hanging="0" w:start="0"/>
        <w:rPr>
          <w:sz w:val="24"/>
        </w:rPr>
      </w:pPr>
      <w:r>
        <w:rPr>
          <w:sz w:val="24"/>
        </w:rPr>
        <w:t>Monthly Report</w:t>
      </w:r>
    </w:p>
    <w:p>
      <w:pPr>
        <w:pStyle w:val="Heading3"/>
        <w:tabs>
          <w:tab w:val="clear" w:pos="1344"/>
          <w:tab w:val="left" w:pos="720" w:leader="none"/>
          <w:tab w:val="left" w:pos="1080" w:leader="none"/>
          <w:tab w:val="left" w:pos="1440" w:leader="none"/>
          <w:tab w:val="left" w:pos="1800" w:leader="none"/>
          <w:tab w:val="left" w:pos="2160" w:leader="none"/>
          <w:tab w:val="left" w:pos="2520" w:leader="none"/>
          <w:tab w:val="left" w:pos="5106" w:leader="none"/>
          <w:tab w:val="left" w:pos="7254" w:leader="none"/>
        </w:tabs>
        <w:spacing w:lineRule="exact" w:line="240"/>
        <w:ind w:hanging="0" w:start="0"/>
        <w:rPr>
          <w:sz w:val="24"/>
        </w:rPr>
      </w:pPr>
      <w:r>
        <w:rPr>
          <w:sz w:val="24"/>
        </w:rPr>
        <w:t>May 2001</w:t>
      </w:r>
    </w:p>
    <w:p>
      <w:pPr>
        <w:pStyle w:val="Normal"/>
        <w:widowControl/>
        <w:tabs>
          <w:tab w:val="clear" w:pos="720"/>
          <w:tab w:val="left" w:pos="1344" w:leader="none"/>
          <w:tab w:val="left" w:pos="5106" w:leader="none"/>
          <w:tab w:val="left" w:pos="7254" w:leader="none"/>
        </w:tabs>
        <w:spacing w:lineRule="exact" w:line="240"/>
        <w:jc w:val="center"/>
        <w:rPr>
          <w:rFonts w:ascii="Times New Roman" w:hAnsi="Times New Roman" w:cs="Times New Roman"/>
          <w:sz w:val="24"/>
        </w:rPr>
      </w:pPr>
      <w:r>
        <w:rPr>
          <w:rFonts w:cs="Times New Roman" w:ascii="Times New Roman" w:hAnsi="Times New Roman"/>
          <w:sz w:val="24"/>
        </w:rPr>
      </w:r>
    </w:p>
    <w:p>
      <w:pPr>
        <w:pStyle w:val="Heading3"/>
        <w:spacing w:lineRule="exact" w:line="240"/>
        <w:ind w:hanging="0" w:start="0"/>
        <w:rPr>
          <w:sz w:val="24"/>
        </w:rPr>
      </w:pPr>
      <w:r>
        <w:rPr>
          <w:sz w:val="24"/>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4"/>
        </w:rPr>
      </w:pPr>
      <w:r>
        <w:rPr>
          <w:rFonts w:cs="Times New Roman" w:ascii="Times New Roman" w:hAnsi="Times New Roman"/>
          <w:sz w:val="24"/>
        </w:rPr>
      </w:r>
    </w:p>
    <w:p>
      <w:pPr>
        <w:pStyle w:val="BodyText3"/>
        <w:rPr>
          <w:sz w:val="24"/>
        </w:rPr>
      </w:pPr>
      <w:r>
        <w:rPr>
          <w:sz w:val="24"/>
        </w:rPr>
        <w:t>This report summarizes current significant legal activities of ENA as of May 15, 2001.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TRADING</w:t>
      </w:r>
    </w:p>
    <w:p>
      <w:pPr>
        <w:pStyle w:val="Heading5"/>
        <w:keepNext w:val="false"/>
        <w:ind w:hanging="0" w:start="0"/>
        <w:rPr/>
      </w:pPr>
      <w:r>
        <w:rPr>
          <w:sz w:val="24"/>
          <w:u w:val="none"/>
        </w:rPr>
        <w:tab/>
      </w:r>
      <w:r>
        <w:rPr>
          <w:sz w:val="24"/>
        </w:rPr>
        <w:t>Houston</w:t>
      </w:r>
    </w:p>
    <w:p>
      <w:pPr>
        <w:pStyle w:val="Normal"/>
        <w:numPr>
          <w:ilvl w:val="0"/>
          <w:numId w:val="6"/>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Power Contract Revision Project</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Kevin Presto/Elizabeth Sager</w:t>
      </w:r>
    </w:p>
    <w:p>
      <w:pPr>
        <w:pStyle w:val="Normal"/>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EPMI reviewing certain high exposure power contracts for revision and conversion to EEI</w:t>
      </w:r>
    </w:p>
    <w:p>
      <w:pPr>
        <w:pStyle w:val="Normal"/>
        <w:numPr>
          <w:ilvl w:val="0"/>
          <w:numId w:val="6"/>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Gas Contract Revision Project</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 xml:space="preserve">John Lavorato/Jeff Hodge/Stacy Dickson </w:t>
      </w:r>
    </w:p>
    <w:p>
      <w:pPr>
        <w:pStyle w:val="Normal"/>
        <w:tabs>
          <w:tab w:val="clear" w:pos="720"/>
          <w:tab w:val="left" w:pos="1260" w:leader="none"/>
          <w:tab w:val="left" w:pos="1440" w:leader="none"/>
        </w:tabs>
        <w:ind w:start="1080" w:end="0"/>
        <w:jc w:val="both"/>
        <w:rPr>
          <w:rFonts w:ascii="Times New Roman" w:hAnsi="Times New Roman" w:cs="Times New Roman"/>
          <w:sz w:val="24"/>
        </w:rPr>
      </w:pPr>
      <w:r>
        <w:rPr>
          <w:rFonts w:cs="Times New Roman" w:ascii="Times New Roman" w:hAnsi="Times New Roman"/>
          <w:sz w:val="24"/>
        </w:rPr>
        <w:t>-</w:t>
        <w:tab/>
        <w:t>Update:</w:t>
        <w:tab/>
        <w:t>ENA reviewing certain high volume trading contracts for possible revision</w:t>
      </w:r>
    </w:p>
    <w:p>
      <w:pPr>
        <w:pStyle w:val="Normal"/>
        <w:numPr>
          <w:ilvl w:val="0"/>
          <w:numId w:val="6"/>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Duke Energy LNG Sales, Inc.</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Brian Redmond/Jeff Hodge/Richard Sanders (Susman &amp; Godfrey)</w:t>
      </w:r>
    </w:p>
    <w:p>
      <w:pPr>
        <w:pStyle w:val="Normal"/>
        <w:tabs>
          <w:tab w:val="clear" w:pos="720"/>
          <w:tab w:val="left" w:pos="1260" w:leader="none"/>
          <w:tab w:val="left" w:pos="1440" w:leader="none"/>
        </w:tabs>
        <w:ind w:start="1080" w:end="0"/>
        <w:jc w:val="both"/>
        <w:rPr>
          <w:rFonts w:ascii="Times New Roman" w:hAnsi="Times New Roman" w:cs="Times New Roman"/>
          <w:sz w:val="24"/>
        </w:rPr>
      </w:pPr>
      <w:r>
        <w:rPr>
          <w:rFonts w:cs="Times New Roman" w:ascii="Times New Roman" w:hAnsi="Times New Roman"/>
          <w:sz w:val="24"/>
        </w:rPr>
        <w:t>-</w:t>
        <w:tab/>
        <w:t>Update:</w:t>
        <w:tab/>
        <w:t>Arbitration on price redetermination has been scheduled for mid-August</w:t>
      </w:r>
    </w:p>
    <w:p>
      <w:pPr>
        <w:pStyle w:val="Normal"/>
        <w:numPr>
          <w:ilvl w:val="0"/>
          <w:numId w:val="6"/>
        </w:numPr>
        <w:tabs>
          <w:tab w:val="clear" w:pos="720"/>
          <w:tab w:val="left" w:pos="1080" w:leader="none"/>
        </w:tabs>
        <w:spacing w:lineRule="exact" w:line="230" w:before="120" w:after="0"/>
        <w:ind w:hanging="0" w:start="720" w:end="0"/>
        <w:jc w:val="both"/>
        <w:rPr>
          <w:rFonts w:ascii="Times New Roman" w:hAnsi="Times New Roman" w:cs="Times New Roman"/>
          <w:sz w:val="24"/>
        </w:rPr>
      </w:pPr>
      <w:r>
        <w:rPr>
          <w:rFonts w:cs="Times New Roman" w:ascii="Times New Roman" w:hAnsi="Times New Roman"/>
          <w:sz w:val="24"/>
        </w:rPr>
        <w:t>Scheduling Services</w:t>
      </w:r>
    </w:p>
    <w:p>
      <w:pPr>
        <w:pStyle w:val="Normal"/>
        <w:numPr>
          <w:ilvl w:val="0"/>
          <w:numId w:val="24"/>
        </w:numPr>
        <w:tabs>
          <w:tab w:val="clear" w:pos="720"/>
          <w:tab w:val="left" w:pos="1260" w:leader="none"/>
        </w:tabs>
        <w:spacing w:lineRule="exact" w:line="230"/>
        <w:jc w:val="both"/>
        <w:rPr>
          <w:rFonts w:ascii="Times New Roman" w:hAnsi="Times New Roman" w:cs="Times New Roman"/>
          <w:sz w:val="24"/>
        </w:rPr>
      </w:pPr>
      <w:r>
        <w:rPr>
          <w:rFonts w:cs="Times New Roman" w:ascii="Times New Roman" w:hAnsi="Times New Roman"/>
          <w:sz w:val="24"/>
        </w:rPr>
        <w:t>David Portz</w:t>
      </w:r>
    </w:p>
    <w:p>
      <w:pPr>
        <w:pStyle w:val="Normal"/>
        <w:numPr>
          <w:ilvl w:val="0"/>
          <w:numId w:val="24"/>
        </w:numPr>
        <w:tabs>
          <w:tab w:val="clear" w:pos="720"/>
          <w:tab w:val="left" w:pos="1260" w:leader="none"/>
          <w:tab w:val="left" w:pos="2160" w:leader="none"/>
        </w:tabs>
        <w:spacing w:lineRule="exact" w:line="230"/>
        <w:ind w:hanging="1080" w:start="2160" w:end="0"/>
        <w:jc w:val="both"/>
        <w:rPr>
          <w:rFonts w:ascii="Times New Roman" w:hAnsi="Times New Roman" w:cs="Times New Roman"/>
          <w:sz w:val="24"/>
        </w:rPr>
      </w:pPr>
      <w:r>
        <w:rPr>
          <w:rFonts w:cs="Times New Roman" w:ascii="Times New Roman" w:hAnsi="Times New Roman"/>
          <w:sz w:val="24"/>
        </w:rPr>
        <w:t>Update:</w:t>
        <w:tab/>
        <w:t>EPMI is attempting to secure multiple agreements to provide scheduling services in Texas as market opens up</w:t>
      </w:r>
    </w:p>
    <w:p>
      <w:pPr>
        <w:pStyle w:val="Heading5"/>
        <w:keepNext w:val="false"/>
        <w:spacing w:lineRule="exact" w:line="230" w:before="120" w:after="0"/>
        <w:ind w:hanging="0" w:start="0"/>
        <w:rPr/>
      </w:pPr>
      <w:r>
        <w:rPr>
          <w:sz w:val="24"/>
          <w:u w:val="none"/>
        </w:rPr>
        <w:tab/>
      </w:r>
      <w:r>
        <w:rPr>
          <w:sz w:val="24"/>
        </w:rPr>
        <w:t>Financial</w:t>
      </w:r>
    </w:p>
    <w:p>
      <w:pPr>
        <w:pStyle w:val="Normal"/>
        <w:numPr>
          <w:ilvl w:val="0"/>
          <w:numId w:val="22"/>
        </w:numPr>
        <w:tabs>
          <w:tab w:val="clear" w:pos="720"/>
        </w:tabs>
        <w:spacing w:lineRule="exact" w:line="230" w:before="120" w:after="0"/>
        <w:ind w:hanging="360" w:start="1080" w:end="0"/>
        <w:jc w:val="both"/>
        <w:rPr>
          <w:rFonts w:ascii="Times New Roman" w:hAnsi="Times New Roman" w:cs="Times New Roman"/>
          <w:sz w:val="24"/>
        </w:rPr>
      </w:pPr>
      <w:r>
        <w:rPr>
          <w:rFonts w:cs="Times New Roman" w:ascii="Times New Roman" w:hAnsi="Times New Roman"/>
          <w:sz w:val="24"/>
        </w:rPr>
        <w:t xml:space="preserve">Trade Credit Exposure </w:t>
      </w:r>
    </w:p>
    <w:p>
      <w:pPr>
        <w:pStyle w:val="Normal"/>
        <w:tabs>
          <w:tab w:val="clear" w:pos="720"/>
          <w:tab w:val="left" w:pos="1260" w:leader="none"/>
        </w:tabs>
        <w:spacing w:lineRule="exact" w:line="230"/>
        <w:ind w:hanging="1080" w:start="2160" w:end="0"/>
        <w:rPr>
          <w:rFonts w:ascii="Times New Roman" w:hAnsi="Times New Roman" w:cs="Times New Roman"/>
          <w:sz w:val="24"/>
        </w:rPr>
      </w:pPr>
      <w:r>
        <w:rPr>
          <w:rFonts w:cs="Times New Roman" w:ascii="Times New Roman" w:hAnsi="Times New Roman"/>
          <w:sz w:val="24"/>
        </w:rPr>
        <w:t>-</w:t>
        <w:tab/>
        <w:t>Bill Bradford/Sara Shackleton/Mary Cook (Cadwalder, Wickersham &amp;Taft)</w:t>
      </w:r>
    </w:p>
    <w:p>
      <w:pPr>
        <w:pStyle w:val="EndnoteText"/>
        <w:numPr>
          <w:ilvl w:val="1"/>
          <w:numId w:val="22"/>
        </w:numPr>
        <w:tabs>
          <w:tab w:val="clear" w:pos="720"/>
          <w:tab w:val="left" w:pos="1260" w:leader="none"/>
        </w:tabs>
        <w:spacing w:lineRule="exact" w:line="230"/>
        <w:ind w:hanging="1080" w:start="2160" w:end="0"/>
        <w:jc w:val="both"/>
        <w:rPr>
          <w:rFonts w:ascii="Times New Roman" w:hAnsi="Times New Roman" w:cs="Times New Roman"/>
          <w:sz w:val="24"/>
        </w:rPr>
      </w:pPr>
      <w:r>
        <w:rPr>
          <w:rFonts w:cs="Times New Roman" w:ascii="Times New Roman" w:hAnsi="Times New Roman"/>
          <w:sz w:val="24"/>
        </w:rPr>
        <w:t>Update:</w:t>
        <w:tab/>
        <w:t>Research regarding various methods available to minimize credit exposure and margin calls including cross-product, cross-entity and triangular netting and set-off arrangements</w:t>
      </w:r>
    </w:p>
    <w:p>
      <w:pPr>
        <w:pStyle w:val="Normal"/>
        <w:numPr>
          <w:ilvl w:val="0"/>
          <w:numId w:val="22"/>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Commodity Exchange Act/CFTC</w:t>
      </w:r>
    </w:p>
    <w:p>
      <w:pPr>
        <w:pStyle w:val="Normal"/>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w:t>
        <w:tab/>
        <w:t>John Lavorato/Mark Haedicke/Mark Taylor (Sullivan &amp; Cromwell)</w:t>
      </w:r>
    </w:p>
    <w:p>
      <w:pPr>
        <w:pStyle w:val="EndnoteText"/>
        <w:numPr>
          <w:ilvl w:val="1"/>
          <w:numId w:val="22"/>
        </w:numPr>
        <w:tabs>
          <w:tab w:val="clear" w:pos="720"/>
          <w:tab w:val="left" w:pos="1260" w:leader="none"/>
        </w:tabs>
        <w:spacing w:lineRule="exact" w:line="220"/>
        <w:ind w:hanging="1080" w:start="2160" w:end="0"/>
        <w:jc w:val="both"/>
        <w:rPr>
          <w:rFonts w:ascii="Times New Roman" w:hAnsi="Times New Roman" w:cs="Times New Roman"/>
          <w:sz w:val="24"/>
        </w:rPr>
      </w:pPr>
      <w:r>
        <w:rPr>
          <w:rFonts w:cs="Times New Roman" w:ascii="Times New Roman" w:hAnsi="Times New Roman"/>
          <w:sz w:val="24"/>
        </w:rPr>
        <w:t>Update:</w:t>
        <w:tab/>
        <w:t>Commodity Futures Modernization Act signed into law in December.  Evaluating provisions of new law which should reduce regulation of OTC derivatives trading</w:t>
      </w:r>
    </w:p>
    <w:p>
      <w:pPr>
        <w:pStyle w:val="Normal"/>
        <w:numPr>
          <w:ilvl w:val="0"/>
          <w:numId w:val="22"/>
        </w:numPr>
        <w:tabs>
          <w:tab w:val="clear" w:pos="720"/>
        </w:tabs>
        <w:spacing w:lineRule="exact" w:line="220" w:before="120" w:after="0"/>
        <w:ind w:hanging="360" w:start="1080" w:end="0"/>
        <w:rPr>
          <w:rFonts w:ascii="Times New Roman" w:hAnsi="Times New Roman" w:cs="Times New Roman"/>
          <w:sz w:val="24"/>
        </w:rPr>
      </w:pPr>
      <w:r>
        <w:rPr>
          <w:rFonts w:cs="Times New Roman" w:ascii="Times New Roman" w:hAnsi="Times New Roman"/>
          <w:sz w:val="24"/>
        </w:rPr>
        <w:t>Agricultural Commodities Trading</w:t>
      </w:r>
    </w:p>
    <w:p>
      <w:pPr>
        <w:pStyle w:val="Normal"/>
        <w:tabs>
          <w:tab w:val="clear" w:pos="720"/>
          <w:tab w:val="left" w:pos="1260" w:leader="none"/>
        </w:tabs>
        <w:spacing w:lineRule="exact" w:line="220"/>
        <w:ind w:hanging="540" w:start="1620" w:end="0"/>
        <w:rPr>
          <w:rFonts w:ascii="Times New Roman" w:hAnsi="Times New Roman" w:cs="Times New Roman"/>
          <w:sz w:val="24"/>
        </w:rPr>
      </w:pPr>
      <w:r>
        <w:rPr>
          <w:rFonts w:cs="Times New Roman" w:ascii="Times New Roman" w:hAnsi="Times New Roman"/>
          <w:sz w:val="24"/>
        </w:rPr>
        <w:t>-</w:t>
        <w:tab/>
        <w:t>Gary Hickerson/Sara Shackleton/Robert Bruce</w:t>
      </w:r>
    </w:p>
    <w:p>
      <w:pPr>
        <w:pStyle w:val="EndnoteText"/>
        <w:numPr>
          <w:ilvl w:val="1"/>
          <w:numId w:val="22"/>
        </w:numPr>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Update:</w:t>
        <w:tab/>
        <w:t>Continuing research and client education regarding physical and financial trading of agricultural commodities</w:t>
      </w:r>
    </w:p>
    <w:p>
      <w:pPr>
        <w:pStyle w:val="Normal"/>
        <w:numPr>
          <w:ilvl w:val="0"/>
          <w:numId w:val="22"/>
        </w:numPr>
        <w:tabs>
          <w:tab w:val="clear" w:pos="720"/>
        </w:tabs>
        <w:spacing w:lineRule="exact" w:line="220" w:before="120" w:after="0"/>
        <w:ind w:hanging="360" w:start="1080" w:end="0"/>
        <w:jc w:val="both"/>
        <w:rPr>
          <w:rFonts w:ascii="Times New Roman" w:hAnsi="Times New Roman" w:cs="Times New Roman"/>
          <w:sz w:val="24"/>
        </w:rPr>
      </w:pPr>
      <w:r>
        <w:rPr>
          <w:rFonts w:cs="Times New Roman" w:ascii="Times New Roman" w:hAnsi="Times New Roman"/>
          <w:sz w:val="24"/>
        </w:rPr>
        <w:t>Enron Corp. ISDA Master Agreements</w:t>
      </w:r>
    </w:p>
    <w:p>
      <w:pPr>
        <w:pStyle w:val="Normal"/>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w:t>
        <w:tab/>
        <w:t>Clint Freel/Sara Shackleton</w:t>
      </w:r>
    </w:p>
    <w:p>
      <w:pPr>
        <w:pStyle w:val="EndnoteText"/>
        <w:numPr>
          <w:ilvl w:val="1"/>
          <w:numId w:val="22"/>
        </w:numPr>
        <w:tabs>
          <w:tab w:val="clear" w:pos="720"/>
          <w:tab w:val="left" w:pos="1260" w:leader="none"/>
        </w:tabs>
        <w:spacing w:lineRule="exact" w:line="220"/>
        <w:ind w:hanging="1080" w:start="2160" w:end="0"/>
        <w:jc w:val="both"/>
        <w:rPr>
          <w:rFonts w:ascii="Times New Roman" w:hAnsi="Times New Roman" w:cs="Times New Roman"/>
          <w:sz w:val="24"/>
        </w:rPr>
      </w:pPr>
      <w:r>
        <w:rPr>
          <w:rFonts w:cs="Times New Roman" w:ascii="Times New Roman" w:hAnsi="Times New Roman"/>
          <w:sz w:val="24"/>
        </w:rPr>
        <w:t>Update:</w:t>
        <w:tab/>
        <w:t>Negotiation of ISDA Master Agreements with several counterparties to cover hedge transactions on Enron Corp. stock</w:t>
      </w:r>
    </w:p>
    <w:p>
      <w:pPr>
        <w:pStyle w:val="Heading5"/>
        <w:keepNext w:val="false"/>
        <w:spacing w:before="120" w:after="0"/>
        <w:ind w:hanging="0" w:start="0"/>
        <w:jc w:val="both"/>
        <w:rPr/>
      </w:pPr>
      <w:r>
        <w:rPr>
          <w:sz w:val="24"/>
          <w:u w:val="none"/>
        </w:rPr>
        <w:tab/>
      </w:r>
      <w:r>
        <w:rPr>
          <w:sz w:val="24"/>
        </w:rPr>
        <w:t>Portland</w:t>
      </w:r>
    </w:p>
    <w:p>
      <w:pPr>
        <w:pStyle w:val="Normal"/>
        <w:numPr>
          <w:ilvl w:val="0"/>
          <w:numId w:val="8"/>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BPA</w:t>
      </w:r>
    </w:p>
    <w:p>
      <w:pPr>
        <w:pStyle w:val="Normal"/>
        <w:tabs>
          <w:tab w:val="clear" w:pos="720"/>
          <w:tab w:val="left" w:pos="1260" w:leader="none"/>
        </w:tabs>
        <w:ind w:hanging="540" w:start="1620" w:end="0"/>
        <w:jc w:val="both"/>
        <w:rPr>
          <w:rFonts w:ascii="Times New Roman" w:hAnsi="Times New Roman" w:cs="Times New Roman"/>
          <w:sz w:val="24"/>
        </w:rPr>
      </w:pPr>
      <w:r>
        <w:rPr>
          <w:rFonts w:cs="Times New Roman" w:ascii="Times New Roman" w:hAnsi="Times New Roman"/>
          <w:sz w:val="24"/>
        </w:rPr>
        <w:t>-</w:t>
        <w:tab/>
        <w:t>Christian Yoder//Richard Sanders</w:t>
      </w:r>
    </w:p>
    <w:p>
      <w:pPr>
        <w:pStyle w:val="EndnoteText"/>
        <w:numPr>
          <w:ilvl w:val="1"/>
          <w:numId w:val="22"/>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BPA has indicated that it may not perform on a long-term contract it entered into with EPMI in 1997.  BPA claims the contract was contingent on EPMI serving Fort James (James River), which contract with Fort James has been terminated; received letter from Clatskanie that supports our position.  ENA Legal also reviewing our overall trading position with BPA in order to prepare for possible non-performance by BPA</w:t>
      </w:r>
    </w:p>
    <w:p>
      <w:pPr>
        <w:pStyle w:val="EndnoteText"/>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r>
    </w:p>
    <w:p>
      <w:pPr>
        <w:pStyle w:val="Normal"/>
        <w:numPr>
          <w:ilvl w:val="0"/>
          <w:numId w:val="8"/>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California Activities</w:t>
      </w:r>
    </w:p>
    <w:p>
      <w:pPr>
        <w:pStyle w:val="Normal"/>
        <w:tabs>
          <w:tab w:val="clear" w:pos="720"/>
          <w:tab w:val="left" w:pos="1260" w:leader="none"/>
        </w:tabs>
        <w:ind w:hanging="540" w:start="1620" w:end="0"/>
        <w:jc w:val="both"/>
        <w:rPr>
          <w:rFonts w:ascii="Times New Roman" w:hAnsi="Times New Roman" w:cs="Times New Roman"/>
          <w:sz w:val="24"/>
        </w:rPr>
      </w:pPr>
      <w:r>
        <w:rPr>
          <w:rFonts w:cs="Times New Roman" w:ascii="Times New Roman" w:hAnsi="Times New Roman"/>
          <w:sz w:val="24"/>
        </w:rPr>
        <w:t>-</w:t>
        <w:tab/>
        <w:t>Christian Yoder/Steve Hall/Elizabeth Sager/Richard Sanders</w:t>
      </w:r>
    </w:p>
    <w:p>
      <w:pPr>
        <w:pStyle w:val="EndnoteText"/>
        <w:numPr>
          <w:ilvl w:val="1"/>
          <w:numId w:val="22"/>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Working to review/assess trading activities in California and to minimize exposures with California counterparties; preparing for possible trading activities in summer 2001</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NET WORKS</w:t>
      </w:r>
    </w:p>
    <w:p>
      <w:pPr>
        <w:pStyle w:val="BodyText"/>
        <w:widowControl/>
        <w:tabs>
          <w:tab w:val="clear" w:pos="720"/>
          <w:tab w:val="left" w:pos="1260" w:leader="none"/>
        </w:tabs>
        <w:spacing w:before="120" w:after="0"/>
        <w:ind w:hanging="360" w:start="1080" w:end="0"/>
        <w:rPr>
          <w:rFonts w:ascii="Times New Roman" w:hAnsi="Times New Roman" w:cs="Times New Roman"/>
          <w:sz w:val="24"/>
        </w:rPr>
      </w:pPr>
      <w:r>
        <w:rPr>
          <w:rFonts w:cs="Times New Roman" w:ascii="Times New Roman" w:hAnsi="Times New Roman"/>
          <w:sz w:val="24"/>
        </w:rPr>
        <w:t>1.</w:t>
        <w:tab/>
        <w:t>Enron Offline – Potential software sale or joint venture</w:t>
      </w:r>
    </w:p>
    <w:p>
      <w:pPr>
        <w:pStyle w:val="BodyText"/>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Greg Piper/Travis McCullough (Vinson &amp; Elkins)</w:t>
      </w:r>
    </w:p>
    <w:p>
      <w:pPr>
        <w:pStyle w:val="Normal"/>
        <w:widowControl/>
        <w:tabs>
          <w:tab w:val="clear" w:pos="720"/>
          <w:tab w:val="left" w:pos="1260" w:leader="none"/>
        </w:tabs>
        <w:ind w:hanging="360" w:start="1080" w:end="0"/>
        <w:jc w:val="both"/>
        <w:rPr>
          <w:rFonts w:ascii="Times New Roman" w:hAnsi="Times New Roman" w:cs="Times New Roman"/>
          <w:sz w:val="24"/>
        </w:rPr>
      </w:pPr>
      <w:r>
        <w:rPr>
          <w:rFonts w:cs="Times New Roman" w:ascii="Times New Roman" w:hAnsi="Times New Roman"/>
          <w:sz w:val="24"/>
        </w:rPr>
        <w:tab/>
        <w:t>-</w:t>
        <w:tab/>
        <w:t xml:space="preserve"> Update:</w:t>
        <w:tab/>
        <w:t>Various NDA’s negotiated; high level term sheets with selected parties in progress</w:t>
      </w:r>
    </w:p>
    <w:p>
      <w:pPr>
        <w:pStyle w:val="BodyText"/>
        <w:widowControl/>
        <w:tabs>
          <w:tab w:val="clear" w:pos="720"/>
          <w:tab w:val="left" w:pos="1260" w:leader="none"/>
        </w:tabs>
        <w:spacing w:before="120" w:after="0"/>
        <w:ind w:hanging="360" w:start="1080" w:end="0"/>
        <w:rPr>
          <w:rFonts w:ascii="Times New Roman" w:hAnsi="Times New Roman" w:cs="Times New Roman"/>
          <w:sz w:val="24"/>
        </w:rPr>
      </w:pPr>
      <w:r>
        <w:rPr>
          <w:rFonts w:cs="Times New Roman" w:ascii="Times New Roman" w:hAnsi="Times New Roman"/>
          <w:sz w:val="24"/>
        </w:rPr>
        <w:t>2.</w:t>
        <w:tab/>
        <w:t>Transaction Hub – Potential transaction to provide trade data from Enron Online to third party to provide “straight-through” transaction processing</w:t>
      </w:r>
    </w:p>
    <w:p>
      <w:pPr>
        <w:pStyle w:val="BodyText"/>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Travis McCullough</w:t>
      </w:r>
    </w:p>
    <w:p>
      <w:pPr>
        <w:pStyle w:val="BodyTextIndent"/>
        <w:tabs>
          <w:tab w:val="clear" w:pos="1080"/>
          <w:tab w:val="left" w:pos="1260" w:leader="none"/>
        </w:tabs>
        <w:rPr>
          <w:sz w:val="24"/>
        </w:rPr>
      </w:pPr>
      <w:r>
        <w:rPr>
          <w:sz w:val="24"/>
        </w:rPr>
        <w:tab/>
        <w:t xml:space="preserve">- </w:t>
        <w:tab/>
        <w:t>Update:</w:t>
        <w:tab/>
      </w:r>
    </w:p>
    <w:p>
      <w:pPr>
        <w:pStyle w:val="Normal"/>
        <w:widowControl/>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3.</w:t>
        <w:tab/>
        <w:t>Commodity Logic</w:t>
      </w:r>
    </w:p>
    <w:p>
      <w:pPr>
        <w:pStyle w:val="Norma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Tom Gros/Mark Greenberg/Mark Taylor</w:t>
      </w:r>
    </w:p>
    <w:p>
      <w:pPr>
        <w:pStyle w:val="EndnoteText"/>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Preparation of agreements for various phases of an internet platform providing back office services to users</w:t>
      </w:r>
    </w:p>
    <w:p>
      <w:pPr>
        <w:pStyle w:val="Normal"/>
        <w:widowControl/>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4.</w:t>
        <w:tab/>
        <w:t>EnronOnline – North America</w:t>
      </w:r>
    </w:p>
    <w:p>
      <w:pPr>
        <w:pStyle w:val="Norma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Andy Zipper/Mark Taylor/Mark Greenberg (Sullivan &amp; Cromwell)</w:t>
      </w:r>
    </w:p>
    <w:p>
      <w:pPr>
        <w:pStyle w:val="EndnoteText"/>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Preparation of agreements for broker access and posting products offered by non-Enron parties; negotiating exceptions to standard online forms and approving language and documentation for new products</w:t>
      </w:r>
    </w:p>
    <w:p>
      <w:pPr>
        <w:pStyle w:val="Normal"/>
        <w:widowControl/>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5.</w:t>
        <w:tab/>
        <w:t>Third Party Trading Platforms</w:t>
      </w:r>
    </w:p>
    <w:p>
      <w:pPr>
        <w:pStyle w:val="Normal"/>
        <w:numPr>
          <w:ilvl w:val="1"/>
          <w:numId w:val="22"/>
        </w:numPr>
        <w:tabs>
          <w:tab w:val="clear" w:pos="720"/>
          <w:tab w:val="left" w:pos="1260" w:leader="none"/>
        </w:tabs>
        <w:rPr>
          <w:rFonts w:ascii="Times New Roman" w:hAnsi="Times New Roman" w:cs="Times New Roman"/>
          <w:sz w:val="24"/>
        </w:rPr>
      </w:pPr>
      <w:r>
        <w:rPr>
          <w:rFonts w:cs="Times New Roman" w:ascii="Times New Roman" w:hAnsi="Times New Roman"/>
          <w:sz w:val="24"/>
        </w:rPr>
        <w:t>Travis McCullough/Mark Greenberg</w:t>
      </w:r>
    </w:p>
    <w:p>
      <w:pPr>
        <w:pStyle w:val="EndnoteText"/>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Legal and technical work associated with 1) Enron posting process on True Quote’s and Houston Streets electronic trading platforms and 2)Enron traders trading on third party platform for Enron’s account</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EAST ORIGINATION &amp; MEXICO</w:t>
      </w:r>
    </w:p>
    <w:p>
      <w:pPr>
        <w:pStyle w:val="Normal"/>
        <w:widowControl/>
        <w:numPr>
          <w:ilvl w:val="0"/>
          <w:numId w:val="7"/>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Co Op City – Development of a small power generation facility for a housing complex in New York, with subsequent asset management responsibilities</w:t>
      </w:r>
    </w:p>
    <w:p>
      <w:pPr>
        <w:pStyle w:val="BodyText"/>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Kay Mann</w:t>
      </w:r>
    </w:p>
    <w:p>
      <w:pPr>
        <w:pStyle w:val="BodyText"/>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Currently negotiating term sheet</w:t>
      </w:r>
    </w:p>
    <w:p>
      <w:pPr>
        <w:pStyle w:val="Normal"/>
        <w:widowControl/>
        <w:numPr>
          <w:ilvl w:val="0"/>
          <w:numId w:val="7"/>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PSEG – Sale of a development site in Illinois</w:t>
      </w:r>
    </w:p>
    <w:p>
      <w:pPr>
        <w:pStyle w:val="BodyText"/>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Carlos Solé</w:t>
      </w:r>
    </w:p>
    <w:p>
      <w:pPr>
        <w:pStyle w:val="BodyText"/>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New buyer identified; sale to previous buyer abandoned</w:t>
      </w:r>
    </w:p>
    <w:p>
      <w:pPr>
        <w:pStyle w:val="Normal"/>
        <w:widowControl/>
        <w:numPr>
          <w:ilvl w:val="0"/>
          <w:numId w:val="7"/>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Fuel Cell Joint Venture</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Kay Mann</w:t>
      </w:r>
    </w:p>
    <w:p>
      <w:pPr>
        <w:pStyle w:val="BodyText"/>
        <w:widowControl/>
        <w:numPr>
          <w:ilvl w:val="0"/>
          <w:numId w:val="9"/>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 xml:space="preserve">LOI with Connecticut Resource Recovery Authority in place; definitive agreements in progress; funding request submitted to State of Connecticut by CRRA </w:t>
      </w:r>
    </w:p>
    <w:p>
      <w:pPr>
        <w:pStyle w:val="Normal"/>
        <w:widowControl/>
        <w:numPr>
          <w:ilvl w:val="0"/>
          <w:numId w:val="7"/>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NCPH – $25.5 million disposition of two North Carolina 35W coal-fired power plants recently acquired (1/31/01) via equity sale to AIG/Highstar</w:t>
      </w:r>
    </w:p>
    <w:p>
      <w:pPr>
        <w:pStyle w:val="BodyText"/>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Steve Van Hooser/Travis McCullough</w:t>
      </w:r>
    </w:p>
    <w:p>
      <w:pPr>
        <w:pStyle w:val="BodyText"/>
        <w:widowControl/>
        <w:numPr>
          <w:ilvl w:val="0"/>
          <w:numId w:val="9"/>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SPA expected to be signed 5/14/01 with closing to occur by 7/31/01</w:t>
      </w:r>
    </w:p>
    <w:p>
      <w:pPr>
        <w:pStyle w:val="Normal"/>
        <w:widowControl/>
        <w:numPr>
          <w:ilvl w:val="0"/>
          <w:numId w:val="7"/>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Delta Power-Sale of four GE turbines currently in Turbopark</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Carlos Solé /Kay Mann</w:t>
      </w:r>
    </w:p>
    <w:p>
      <w:pPr>
        <w:pStyle w:val="BodyText"/>
        <w:widowControl/>
        <w:numPr>
          <w:ilvl w:val="0"/>
          <w:numId w:val="9"/>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Executed initial definitive agreement with potential buyer and finalizing closing documents</w:t>
      </w:r>
    </w:p>
    <w:p>
      <w:pPr>
        <w:pStyle w:val="Normal"/>
        <w:widowControl/>
        <w:numPr>
          <w:ilvl w:val="0"/>
          <w:numId w:val="7"/>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 xml:space="preserve">City of Clarksdale &amp; Yazoo City, Mississippi </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Kay Mann</w:t>
      </w:r>
    </w:p>
    <w:p>
      <w:pPr>
        <w:pStyle w:val="BodyText"/>
        <w:widowControl/>
        <w:numPr>
          <w:ilvl w:val="0"/>
          <w:numId w:val="9"/>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 xml:space="preserve">Asset management agreement circulated for negotiation </w:t>
      </w:r>
    </w:p>
    <w:p>
      <w:pPr>
        <w:pStyle w:val="Normal"/>
        <w:widowControl/>
        <w:numPr>
          <w:ilvl w:val="0"/>
          <w:numId w:val="7"/>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New Jersey Resources-project development agreements for fuel cell projects</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Kay Mann</w:t>
      </w:r>
    </w:p>
    <w:p>
      <w:pPr>
        <w:pStyle w:val="BodyText"/>
        <w:widowControl/>
        <w:numPr>
          <w:ilvl w:val="0"/>
          <w:numId w:val="9"/>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LOI signed</w:t>
      </w:r>
    </w:p>
    <w:p>
      <w:pPr>
        <w:pStyle w:val="Normal"/>
        <w:widowControl/>
        <w:numPr>
          <w:ilvl w:val="0"/>
          <w:numId w:val="7"/>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TransAlta – Gas sales contract with Canadian entity for proposed generation facility in Chihuahua, Mexico</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Steve Van Hooser</w:t>
      </w:r>
    </w:p>
    <w:p>
      <w:pPr>
        <w:pStyle w:val="BodyText"/>
        <w:widowControl/>
        <w:numPr>
          <w:ilvl w:val="0"/>
          <w:numId w:val="9"/>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The Mexican Federal Electricity Commission awarded TransAlta a long term PPA, thus satisfying the last condition precedent to ENA’s sale of 48,250 MmBtu/day of gas at 5.5 cents over Gas Daily, from June 2003 through February 2020</w:t>
      </w:r>
    </w:p>
    <w:p>
      <w:pPr>
        <w:pStyle w:val="BodyText"/>
        <w:widowControl/>
        <w:numPr>
          <w:ilvl w:val="0"/>
          <w:numId w:val="9"/>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r>
    </w:p>
    <w:p>
      <w:pPr>
        <w:pStyle w:val="Normal"/>
        <w:widowControl/>
        <w:numPr>
          <w:ilvl w:val="0"/>
          <w:numId w:val="7"/>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Northwestern – Sale of GE turbines in Turbopark</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Kay Mann</w:t>
      </w:r>
    </w:p>
    <w:p>
      <w:pPr>
        <w:pStyle w:val="BodyText"/>
        <w:widowControl/>
        <w:numPr>
          <w:ilvl w:val="0"/>
          <w:numId w:val="9"/>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Definitive documents being negotiated</w:t>
      </w:r>
    </w:p>
    <w:p>
      <w:pPr>
        <w:pStyle w:val="Normal"/>
        <w:widowControl/>
        <w:numPr>
          <w:ilvl w:val="0"/>
          <w:numId w:val="7"/>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Brownsville Public Utility Board – Development of coal-fueled power plant in Brownsville, Texas</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Carlos Solé</w:t>
      </w:r>
    </w:p>
    <w:p>
      <w:pPr>
        <w:pStyle w:val="BodyText"/>
        <w:widowControl/>
        <w:numPr>
          <w:ilvl w:val="0"/>
          <w:numId w:val="9"/>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Letter of intent executed and negotiating site acquisition documents with Port of Brownsville</w:t>
      </w:r>
    </w:p>
    <w:p>
      <w:pPr>
        <w:pStyle w:val="Normal"/>
        <w:widowControl/>
        <w:numPr>
          <w:ilvl w:val="0"/>
          <w:numId w:val="7"/>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 xml:space="preserve">Tex-Mex – Development of cross-border transformer facility for export of power into Mexico </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Carlos Solé</w:t>
      </w:r>
    </w:p>
    <w:p>
      <w:pPr>
        <w:pStyle w:val="BodyText"/>
        <w:widowControl/>
        <w:numPr>
          <w:ilvl w:val="0"/>
          <w:numId w:val="9"/>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EPC contract with ABB being reinstated, but Notice to Proceed will be subject to granting of certain Mexican regulatory approvals on the import of power into Mexico</w:t>
      </w:r>
    </w:p>
    <w:p>
      <w:pPr>
        <w:pStyle w:val="BodyText"/>
        <w:widowControl/>
        <w:tabs>
          <w:tab w:val="clear" w:pos="720"/>
          <w:tab w:val="left" w:pos="1260" w:leader="none"/>
        </w:tabs>
        <w:spacing w:before="120" w:after="0"/>
        <w:ind w:start="360" w:end="0"/>
        <w:rPr>
          <w:rFonts w:ascii="Times New Roman" w:hAnsi="Times New Roman" w:cs="Times New Roman"/>
          <w:b/>
          <w:bCs/>
          <w:sz w:val="24"/>
          <w:u w:val="single"/>
        </w:rPr>
      </w:pPr>
      <w:r>
        <w:rPr>
          <w:rFonts w:cs="Times New Roman" w:ascii="Times New Roman" w:hAnsi="Times New Roman"/>
          <w:b/>
          <w:bCs/>
          <w:sz w:val="24"/>
          <w:u w:val="single"/>
        </w:rPr>
        <w:t>Mexico</w:t>
      </w:r>
    </w:p>
    <w:p>
      <w:pPr>
        <w:pStyle w:val="Normal"/>
        <w:widowControl/>
        <w:numPr>
          <w:ilvl w:val="0"/>
          <w:numId w:val="25"/>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Vitro Power Generation Transaction</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Carlos Solé</w:t>
      </w:r>
    </w:p>
    <w:p>
      <w:pPr>
        <w:pStyle w:val="BodyText"/>
        <w:widowControl/>
        <w:numPr>
          <w:ilvl w:val="0"/>
          <w:numId w:val="9"/>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Financial close with IDB occurred on 12/29/00; first disbursement occurred May 10, 2001</w:t>
      </w:r>
    </w:p>
    <w:p>
      <w:pPr>
        <w:pStyle w:val="Normal"/>
        <w:widowControl/>
        <w:numPr>
          <w:ilvl w:val="0"/>
          <w:numId w:val="25"/>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Project Stealth – Development of several small power generation facilities - to be packaged for sale by ENA</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Carlos Solé</w:t>
      </w:r>
    </w:p>
    <w:p>
      <w:pPr>
        <w:pStyle w:val="BodyText"/>
        <w:widowControl/>
        <w:numPr>
          <w:ilvl w:val="0"/>
          <w:numId w:val="9"/>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PPA was presented to FAPSA and FAPSA’s comments are anticipated soon; discussions with Fersinsa on terms of PPA are ongoing but PPA format has not yet been given to Fersinsa; discussions are ongoing with Aroucia Corn Products, Hilaturas Parras and Parras de la Laguna</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WEST ORIGINATION</w:t>
      </w:r>
    </w:p>
    <w:p>
      <w:pPr>
        <w:pStyle w:val="Normal"/>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Development of expansion of LV Cogen II, tolling agreement and equity sell-down of LV Cogen I and LV Cogen II</w:t>
      </w:r>
    </w:p>
    <w:p>
      <w:pPr>
        <w:pStyle w:val="Normal"/>
        <w:widowControl/>
        <w:tabs>
          <w:tab w:val="clear" w:pos="720"/>
          <w:tab w:val="left" w:pos="1260" w:leader="none"/>
        </w:tabs>
        <w:ind w:hanging="360" w:start="1440" w:end="0"/>
        <w:jc w:val="both"/>
        <w:rPr>
          <w:rFonts w:ascii="Times New Roman" w:hAnsi="Times New Roman" w:cs="Times New Roman"/>
          <w:sz w:val="24"/>
        </w:rPr>
      </w:pPr>
      <w:r>
        <w:rPr>
          <w:rFonts w:cs="Times New Roman" w:ascii="Times New Roman" w:hAnsi="Times New Roman"/>
          <w:sz w:val="24"/>
        </w:rPr>
        <w:t>-</w:t>
        <w:tab/>
        <w:t>Dale Rasmussen</w:t>
      </w:r>
    </w:p>
    <w:p>
      <w:pPr>
        <w:pStyle w:val="Normal"/>
        <w:widowControl/>
        <w:numPr>
          <w:ilvl w:val="0"/>
          <w:numId w:val="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15 year tolling agreement executed by Allegheny on 5/14/01; auction process for sale of equity underway</w:t>
      </w:r>
    </w:p>
    <w:p>
      <w:pPr>
        <w:pStyle w:val="Normal"/>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Development of combined cycle plant at Roseville, CA</w:t>
      </w:r>
    </w:p>
    <w:p>
      <w:pPr>
        <w:pStyle w:val="BodyText"/>
        <w:widowControl/>
        <w:numPr>
          <w:ilvl w:val="0"/>
          <w:numId w:val="9"/>
        </w:numPr>
        <w:tabs>
          <w:tab w:val="clear" w:pos="720"/>
          <w:tab w:val="left" w:pos="1260" w:leader="none"/>
        </w:tabs>
        <w:rPr>
          <w:rFonts w:ascii="Times New Roman" w:hAnsi="Times New Roman" w:cs="Times New Roman"/>
          <w:sz w:val="24"/>
        </w:rPr>
      </w:pPr>
      <w:r>
        <w:rPr>
          <w:rFonts w:cs="Times New Roman" w:ascii="Times New Roman" w:hAnsi="Times New Roman"/>
          <w:sz w:val="24"/>
        </w:rPr>
        <w:t>Karen Jones</w:t>
      </w:r>
    </w:p>
    <w:p>
      <w:pPr>
        <w:pStyle w:val="BodyText"/>
        <w:widowControl/>
        <w:numPr>
          <w:ilvl w:val="0"/>
          <w:numId w:val="9"/>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Acquiring site and equipment; emission reduction credits to be purchased by 5/15/01</w:t>
      </w:r>
    </w:p>
    <w:p>
      <w:pPr>
        <w:pStyle w:val="Normal"/>
        <w:widowControl/>
        <w:numPr>
          <w:ilvl w:val="0"/>
          <w:numId w:val="2"/>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Development of combined cycle plant at Port of Longview, Washington and sale</w:t>
      </w:r>
    </w:p>
    <w:p>
      <w:pPr>
        <w:pStyle w:val="BodyText"/>
        <w:widowControl/>
        <w:numPr>
          <w:ilvl w:val="0"/>
          <w:numId w:val="9"/>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Dale Rasmussen/Sheila Tweed</w:t>
      </w:r>
    </w:p>
    <w:p>
      <w:pPr>
        <w:pStyle w:val="BodyText"/>
        <w:widowControl/>
        <w:numPr>
          <w:ilvl w:val="0"/>
          <w:numId w:val="9"/>
        </w:numPr>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Update:</w:t>
        <w:tab/>
        <w:t>Permitting site and acquiring equipment; sale of equity to McCork Metals in negotiation</w:t>
      </w:r>
    </w:p>
    <w:p>
      <w:pPr>
        <w:pStyle w:val="Normal"/>
        <w:widowControl/>
        <w:numPr>
          <w:ilvl w:val="0"/>
          <w:numId w:val="2"/>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Joint power plant development with Hansen Cement</w:t>
      </w:r>
    </w:p>
    <w:p>
      <w:pPr>
        <w:pStyle w:val="BodyText"/>
        <w:widowControl/>
        <w:numPr>
          <w:ilvl w:val="0"/>
          <w:numId w:val="9"/>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Karen Jones</w:t>
      </w:r>
    </w:p>
    <w:p>
      <w:pPr>
        <w:pStyle w:val="BodyText"/>
        <w:widowControl/>
        <w:numPr>
          <w:ilvl w:val="0"/>
          <w:numId w:val="9"/>
        </w:numPr>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Update:</w:t>
        <w:tab/>
        <w:t>Negotiating definitive agreements</w:t>
      </w:r>
    </w:p>
    <w:p>
      <w:pPr>
        <w:pStyle w:val="Normal"/>
        <w:widowControl/>
        <w:numPr>
          <w:ilvl w:val="0"/>
          <w:numId w:val="2"/>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Ft. Pierce Project – Construction financing through TurboPark and final documentation for power plant development and steam sales to City of Ft. Pierce Utility</w:t>
      </w:r>
    </w:p>
    <w:p>
      <w:pPr>
        <w:pStyle w:val="BodyText"/>
        <w:widowControl/>
        <w:tabs>
          <w:tab w:val="clear" w:pos="720"/>
          <w:tab w:val="left" w:pos="1260" w:leader="none"/>
        </w:tabs>
        <w:spacing w:lineRule="exact" w:line="220"/>
        <w:ind w:hanging="270" w:start="1080" w:end="0"/>
        <w:rPr>
          <w:rFonts w:ascii="Times New Roman" w:hAnsi="Times New Roman" w:cs="Times New Roman"/>
          <w:sz w:val="24"/>
        </w:rPr>
      </w:pPr>
      <w:r>
        <w:rPr>
          <w:rFonts w:cs="Times New Roman" w:ascii="Times New Roman" w:hAnsi="Times New Roman"/>
          <w:sz w:val="24"/>
        </w:rPr>
        <w:tab/>
        <w:t>-</w:t>
        <w:tab/>
        <w:t>Bart Clark</w:t>
      </w:r>
    </w:p>
    <w:p>
      <w:pPr>
        <w:pStyle w:val="BodyText"/>
        <w:widowControl/>
        <w:numPr>
          <w:ilvl w:val="0"/>
          <w:numId w:val="9"/>
        </w:numPr>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Update:</w:t>
        <w:tab/>
        <w:t>Finalizing construction documents and financing</w:t>
      </w:r>
    </w:p>
    <w:p>
      <w:pPr>
        <w:pStyle w:val="Normal"/>
        <w:widowControl/>
        <w:tabs>
          <w:tab w:val="clear" w:pos="720"/>
          <w:tab w:val="left" w:pos="1344" w:leader="none"/>
          <w:tab w:val="left" w:pos="5106" w:leader="none"/>
          <w:tab w:val="left" w:pos="7254" w:leader="none"/>
        </w:tabs>
        <w:spacing w:lineRule="exact" w:line="220" w:before="240" w:after="0"/>
        <w:rPr>
          <w:rFonts w:ascii="Times New Roman" w:hAnsi="Times New Roman" w:cs="Times New Roman"/>
          <w:sz w:val="24"/>
        </w:rPr>
      </w:pPr>
      <w:r>
        <w:rPr>
          <w:rFonts w:cs="Times New Roman" w:ascii="Times New Roman" w:hAnsi="Times New Roman"/>
          <w:sz w:val="24"/>
        </w:rPr>
        <w:t>UPSTREAM ORIGINATION AND HPL</w:t>
      </w:r>
    </w:p>
    <w:p>
      <w:pPr>
        <w:pStyle w:val="Normal"/>
        <w:widowControl/>
        <w:numPr>
          <w:ilvl w:val="0"/>
          <w:numId w:val="18"/>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Project Triple Lutz – Sale of HPL and related assets</w:t>
      </w:r>
    </w:p>
    <w:p>
      <w:pPr>
        <w:pStyle w:val="BodyText"/>
        <w:widowControl/>
        <w:tabs>
          <w:tab w:val="clear" w:pos="720"/>
          <w:tab w:val="left" w:pos="0" w:leader="none"/>
          <w:tab w:val="left" w:pos="450" w:leader="none"/>
          <w:tab w:val="left" w:pos="1260" w:leader="none"/>
        </w:tabs>
        <w:spacing w:lineRule="exact" w:line="220"/>
        <w:ind w:hanging="360" w:start="1080" w:end="0"/>
        <w:rPr>
          <w:rFonts w:ascii="Times New Roman" w:hAnsi="Times New Roman" w:cs="Times New Roman"/>
          <w:sz w:val="24"/>
        </w:rPr>
      </w:pPr>
      <w:r>
        <w:rPr>
          <w:rFonts w:cs="Times New Roman" w:ascii="Times New Roman" w:hAnsi="Times New Roman"/>
          <w:sz w:val="24"/>
        </w:rPr>
        <w:tab/>
        <w:t>-</w:t>
        <w:tab/>
        <w:t>Barbara Gray/Anne Koehler  (V&amp;E)</w:t>
      </w:r>
    </w:p>
    <w:p>
      <w:pPr>
        <w:pStyle w:val="BodyText"/>
        <w:widowControl/>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w:t>
        <w:tab/>
        <w:t>Update:</w:t>
        <w:tab/>
        <w:t>Executed definitive agreement on 1/11/01 with AEP; closing likely in Q2, 2001</w:t>
      </w:r>
    </w:p>
    <w:p>
      <w:pPr>
        <w:pStyle w:val="Normal"/>
        <w:widowControl/>
        <w:numPr>
          <w:ilvl w:val="0"/>
          <w:numId w:val="18"/>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A/S Pipeline Blowout – HPL owns 50% of this line; El Paso the other 50%; El Paso is the operator; TXRRC is requiring the “pigging” of this line at a cost in excess of $1 million; no personal injuries</w:t>
      </w:r>
    </w:p>
    <w:p>
      <w:pPr>
        <w:pStyle w:val="Normal"/>
        <w:widowControl/>
        <w:tabs>
          <w:tab w:val="clear" w:pos="720"/>
          <w:tab w:val="left" w:pos="-90" w:leader="none"/>
          <w:tab w:val="left" w:pos="90" w:leader="none"/>
          <w:tab w:val="left" w:pos="1080" w:leader="none"/>
          <w:tab w:val="left" w:pos="1260" w:leader="none"/>
        </w:tabs>
        <w:spacing w:lineRule="exact" w:line="220"/>
        <w:ind w:start="1080" w:end="0"/>
        <w:jc w:val="both"/>
        <w:rPr>
          <w:rFonts w:ascii="Times New Roman" w:hAnsi="Times New Roman" w:cs="Times New Roman"/>
          <w:sz w:val="24"/>
        </w:rPr>
      </w:pPr>
      <w:r>
        <w:rPr>
          <w:rFonts w:cs="Times New Roman" w:ascii="Times New Roman" w:hAnsi="Times New Roman"/>
          <w:sz w:val="24"/>
        </w:rPr>
        <w:t>-</w:t>
        <w:tab/>
        <w:t>Barbara Gray/Eileen Kisluk</w:t>
      </w:r>
    </w:p>
    <w:p>
      <w:pPr>
        <w:pStyle w:val="EndnoteText"/>
        <w:tabs>
          <w:tab w:val="clear" w:pos="720"/>
          <w:tab w:val="left" w:pos="1260" w:leader="none"/>
          <w:tab w:val="left" w:pos="1800" w:leader="none"/>
        </w:tabs>
        <w:spacing w:lineRule="exact" w:line="220"/>
        <w:ind w:hanging="1080" w:start="2160" w:end="0"/>
        <w:jc w:val="both"/>
        <w:rPr>
          <w:rFonts w:ascii="Times New Roman" w:hAnsi="Times New Roman" w:cs="Times New Roman"/>
          <w:sz w:val="24"/>
        </w:rPr>
      </w:pPr>
      <w:r>
        <w:rPr>
          <w:rFonts w:cs="Times New Roman" w:ascii="Times New Roman" w:hAnsi="Times New Roman"/>
          <w:sz w:val="24"/>
        </w:rPr>
        <w:t>-</w:t>
        <w:tab/>
        <w:t>Update:</w:t>
        <w:tab/>
        <w:t>Pigging and testing continues; legal representation is Mark Wawro, hired by El Paso, as operator</w:t>
      </w:r>
    </w:p>
    <w:p>
      <w:pPr>
        <w:pStyle w:val="Normal"/>
        <w:widowControl/>
        <w:tabs>
          <w:tab w:val="clear" w:pos="720"/>
          <w:tab w:val="left" w:pos="1344" w:leader="none"/>
          <w:tab w:val="left" w:pos="5106" w:leader="none"/>
          <w:tab w:val="left" w:pos="7254" w:leader="none"/>
        </w:tabs>
        <w:spacing w:lineRule="exact" w:line="220" w:before="240" w:after="0"/>
        <w:rPr>
          <w:rFonts w:ascii="Times New Roman" w:hAnsi="Times New Roman" w:cs="Times New Roman"/>
          <w:sz w:val="24"/>
        </w:rPr>
      </w:pPr>
      <w:r>
        <w:rPr>
          <w:rFonts w:cs="Times New Roman" w:ascii="Times New Roman" w:hAnsi="Times New Roman"/>
          <w:sz w:val="24"/>
        </w:rPr>
        <w:t>FINANCE/M&amp;A/ENERGY INVESTMENTS</w:t>
      </w:r>
    </w:p>
    <w:p>
      <w:pPr>
        <w:pStyle w:val="Normal"/>
        <w:widowControl/>
        <w:numPr>
          <w:ilvl w:val="0"/>
          <w:numId w:val="4"/>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Brooklyn Navy Yard – Possible purchase of equity interests in partnership owning 50% of Brooklyn Navy Yard</w:t>
      </w:r>
    </w:p>
    <w:p>
      <w:pPr>
        <w:pStyle w:val="Normal"/>
        <w:widowControl/>
        <w:tabs>
          <w:tab w:val="clear" w:pos="720"/>
          <w:tab w:val="left" w:pos="1080" w:leader="none"/>
          <w:tab w:val="left" w:pos="1260" w:leader="none"/>
        </w:tabs>
        <w:spacing w:lineRule="exact" w:line="220"/>
        <w:ind w:start="720" w:end="0"/>
        <w:jc w:val="both"/>
        <w:rPr>
          <w:rFonts w:ascii="Times New Roman" w:hAnsi="Times New Roman" w:cs="Times New Roman"/>
          <w:sz w:val="24"/>
        </w:rPr>
      </w:pPr>
      <w:r>
        <w:rPr>
          <w:rFonts w:cs="Times New Roman" w:ascii="Times New Roman" w:hAnsi="Times New Roman"/>
          <w:sz w:val="24"/>
        </w:rPr>
        <w:tab/>
        <w:t>-</w:t>
        <w:tab/>
        <w:t>Lisa Mellencamp/Angela Davis</w:t>
      </w:r>
    </w:p>
    <w:p>
      <w:pPr>
        <w:pStyle w:val="Normal"/>
        <w:widowControl/>
        <w:tabs>
          <w:tab w:val="clear" w:pos="720"/>
          <w:tab w:val="left" w:pos="1080" w:leader="none"/>
          <w:tab w:val="left" w:pos="1260" w:leader="none"/>
        </w:tabs>
        <w:spacing w:lineRule="exact" w:line="220"/>
        <w:ind w:hanging="1440" w:start="2160" w:end="0"/>
        <w:jc w:val="both"/>
        <w:rPr>
          <w:rFonts w:ascii="Times New Roman" w:hAnsi="Times New Roman" w:cs="Times New Roman"/>
          <w:sz w:val="24"/>
        </w:rPr>
      </w:pPr>
      <w:r>
        <w:rPr>
          <w:rFonts w:cs="Times New Roman" w:ascii="Times New Roman" w:hAnsi="Times New Roman"/>
          <w:sz w:val="24"/>
        </w:rPr>
        <w:tab/>
        <w:t>-</w:t>
        <w:tab/>
        <w:t>Update:  Agreements under negotiation</w:t>
      </w:r>
    </w:p>
    <w:p>
      <w:pPr>
        <w:pStyle w:val="Normal"/>
        <w:widowControl/>
        <w:numPr>
          <w:ilvl w:val="0"/>
          <w:numId w:val="4"/>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Acquisition and Disposition Transactions</w:t>
      </w:r>
    </w:p>
    <w:p>
      <w:pPr>
        <w:pStyle w:val="BodyText"/>
        <w:widowControl/>
        <w:tabs>
          <w:tab w:val="clear" w:pos="720"/>
          <w:tab w:val="left" w:pos="1260" w:leader="none"/>
        </w:tabs>
        <w:spacing w:lineRule="exact" w:line="220" w:before="120" w:after="0"/>
        <w:ind w:hanging="360" w:start="1080" w:end="0"/>
        <w:rPr>
          <w:rFonts w:ascii="Times New Roman" w:hAnsi="Times New Roman" w:cs="Times New Roman"/>
          <w:sz w:val="24"/>
        </w:rPr>
      </w:pPr>
      <w:r>
        <w:rPr>
          <w:rFonts w:cs="Times New Roman" w:ascii="Times New Roman" w:hAnsi="Times New Roman"/>
          <w:sz w:val="24"/>
        </w:rPr>
        <w:tab/>
        <w:t>Utiliquest - $70MM sale of company in which Enron/JEDI II own 75% interest</w:t>
      </w:r>
    </w:p>
    <w:p>
      <w:pPr>
        <w:pStyle w:val="BodyText"/>
        <w:widowControl/>
        <w:numPr>
          <w:ilvl w:val="0"/>
          <w:numId w:val="9"/>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Travis McCullough</w:t>
      </w:r>
    </w:p>
    <w:p>
      <w:pPr>
        <w:pStyle w:val="BodyText"/>
        <w:widowControl/>
        <w:tabs>
          <w:tab w:val="clear" w:pos="720"/>
          <w:tab w:val="left" w:pos="1080" w:leader="none"/>
          <w:tab w:val="left" w:pos="1260" w:leader="none"/>
        </w:tabs>
        <w:spacing w:lineRule="exact" w:line="220" w:before="120" w:after="0"/>
        <w:ind w:start="1080" w:end="0"/>
        <w:rPr>
          <w:rFonts w:ascii="Times New Roman" w:hAnsi="Times New Roman" w:cs="Times New Roman"/>
          <w:sz w:val="24"/>
        </w:rPr>
      </w:pPr>
      <w:r>
        <w:rPr>
          <w:rFonts w:cs="Times New Roman" w:ascii="Times New Roman" w:hAnsi="Times New Roman"/>
          <w:sz w:val="24"/>
        </w:rPr>
        <w:t>Multiple proposed acquisitions and disposition of QF power facilities – in various stages</w:t>
      </w:r>
    </w:p>
    <w:p>
      <w:pPr>
        <w:pStyle w:val="BodyText"/>
        <w:widowControl/>
        <w:numPr>
          <w:ilvl w:val="0"/>
          <w:numId w:val="4"/>
        </w:numPr>
        <w:tabs>
          <w:tab w:val="clear" w:pos="720"/>
          <w:tab w:val="left" w:pos="1260" w:leader="none"/>
        </w:tabs>
        <w:spacing w:lineRule="exact" w:line="220" w:before="120" w:after="0"/>
        <w:rPr>
          <w:rFonts w:ascii="Times New Roman" w:hAnsi="Times New Roman" w:cs="Times New Roman"/>
          <w:sz w:val="24"/>
        </w:rPr>
      </w:pPr>
      <w:r>
        <w:rPr>
          <w:rFonts w:cs="Times New Roman" w:ascii="Times New Roman" w:hAnsi="Times New Roman"/>
          <w:sz w:val="24"/>
        </w:rPr>
        <w:t>HEOF II Matters –Investments in minority-owned businesses; ongoing maintenance</w:t>
      </w:r>
    </w:p>
    <w:p>
      <w:pPr>
        <w:pStyle w:val="Normal"/>
        <w:widowControl/>
        <w:tabs>
          <w:tab w:val="clear" w:pos="720"/>
          <w:tab w:val="left" w:pos="1260" w:leader="none"/>
        </w:tabs>
        <w:spacing w:lineRule="exact" w:line="220" w:before="120" w:after="0"/>
        <w:ind w:hanging="360" w:start="1080" w:end="0"/>
        <w:jc w:val="both"/>
        <w:rPr>
          <w:rFonts w:ascii="Times New Roman" w:hAnsi="Times New Roman" w:cs="Times New Roman"/>
          <w:sz w:val="24"/>
        </w:rPr>
      </w:pPr>
      <w:r>
        <w:rPr>
          <w:rFonts w:cs="Times New Roman" w:ascii="Times New Roman" w:hAnsi="Times New Roman"/>
          <w:sz w:val="24"/>
        </w:rPr>
        <w:t>4.</w:t>
        <w:tab/>
        <w:t>Production Payments – Variety of transactions involving production payments including:</w:t>
      </w:r>
    </w:p>
    <w:p>
      <w:pPr>
        <w:pStyle w:val="BodyText"/>
        <w:widowControl/>
        <w:tabs>
          <w:tab w:val="clear" w:pos="720"/>
          <w:tab w:val="left" w:pos="1260" w:leader="none"/>
        </w:tabs>
        <w:spacing w:lineRule="exact" w:line="220" w:before="120" w:after="0"/>
        <w:ind w:hanging="1080" w:start="2160" w:end="0"/>
        <w:rPr>
          <w:rFonts w:ascii="Times New Roman" w:hAnsi="Times New Roman" w:cs="Times New Roman"/>
          <w:sz w:val="24"/>
        </w:rPr>
      </w:pPr>
      <w:r>
        <w:rPr>
          <w:rFonts w:cs="Times New Roman" w:ascii="Times New Roman" w:hAnsi="Times New Roman"/>
          <w:sz w:val="24"/>
        </w:rPr>
        <w:t>Tri-Union – Purchase of $100 MM production payment; $10MM equity investment</w:t>
      </w:r>
    </w:p>
    <w:p>
      <w:pPr>
        <w:pStyle w:val="BodyText"/>
        <w:widowControl/>
        <w:numPr>
          <w:ilvl w:val="0"/>
          <w:numId w:val="9"/>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Teresa Bushman</w:t>
      </w:r>
    </w:p>
    <w:p>
      <w:pPr>
        <w:pStyle w:val="BodyText"/>
        <w:widowControl/>
        <w:numPr>
          <w:ilvl w:val="0"/>
          <w:numId w:val="9"/>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Update:</w:t>
        <w:tab/>
        <w:t>Negotiations on LOU underway</w:t>
      </w:r>
    </w:p>
    <w:p>
      <w:pPr>
        <w:pStyle w:val="BodyText"/>
        <w:widowControl/>
        <w:tabs>
          <w:tab w:val="clear" w:pos="720"/>
          <w:tab w:val="left" w:pos="1260" w:leader="none"/>
        </w:tabs>
        <w:spacing w:lineRule="exact" w:line="220" w:before="120" w:after="0"/>
        <w:ind w:start="1080" w:end="0"/>
        <w:rPr>
          <w:rFonts w:ascii="Times New Roman" w:hAnsi="Times New Roman" w:cs="Times New Roman"/>
          <w:sz w:val="24"/>
        </w:rPr>
      </w:pPr>
      <w:r>
        <w:rPr>
          <w:rFonts w:cs="Times New Roman" w:ascii="Times New Roman" w:hAnsi="Times New Roman"/>
          <w:sz w:val="24"/>
        </w:rPr>
        <w:t>Brazos II – Structuring of new funding vehicle for production payments underway</w:t>
      </w:r>
    </w:p>
    <w:p>
      <w:pPr>
        <w:pStyle w:val="BodyText"/>
        <w:widowControl/>
        <w:numPr>
          <w:ilvl w:val="0"/>
          <w:numId w:val="9"/>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Teresa Bushman</w:t>
      </w:r>
    </w:p>
    <w:p>
      <w:pPr>
        <w:pStyle w:val="Normal"/>
        <w:widowControl/>
        <w:tabs>
          <w:tab w:val="clear" w:pos="720"/>
          <w:tab w:val="left" w:pos="1260" w:leader="none"/>
        </w:tabs>
        <w:spacing w:lineRule="exact" w:line="220" w:before="120" w:after="0"/>
        <w:ind w:hanging="360" w:start="1080" w:end="0"/>
        <w:jc w:val="both"/>
        <w:rPr>
          <w:rFonts w:ascii="Times New Roman" w:hAnsi="Times New Roman" w:cs="Times New Roman"/>
          <w:sz w:val="24"/>
        </w:rPr>
      </w:pPr>
      <w:r>
        <w:rPr>
          <w:rFonts w:cs="Times New Roman" w:ascii="Times New Roman" w:hAnsi="Times New Roman"/>
          <w:sz w:val="24"/>
        </w:rPr>
        <w:t>5.</w:t>
        <w:tab/>
        <w:t>Merchant Portfolio Matters – Continued dispositions and monetizations of the ENA merchant portfolio</w:t>
      </w:r>
    </w:p>
    <w:p>
      <w:pPr>
        <w:pStyle w:val="Normal"/>
        <w:widowControl/>
        <w:tabs>
          <w:tab w:val="clear" w:pos="720"/>
          <w:tab w:val="left" w:pos="1080" w:leader="none"/>
          <w:tab w:val="left" w:pos="1260" w:leader="none"/>
        </w:tabs>
        <w:spacing w:lineRule="exact" w:line="220"/>
        <w:ind w:start="1080" w:end="0"/>
        <w:jc w:val="both"/>
        <w:rPr>
          <w:rFonts w:ascii="Times New Roman" w:hAnsi="Times New Roman" w:cs="Times New Roman"/>
          <w:sz w:val="24"/>
        </w:rPr>
      </w:pPr>
      <w:r>
        <w:rPr>
          <w:rFonts w:cs="Times New Roman" w:ascii="Times New Roman" w:hAnsi="Times New Roman"/>
          <w:sz w:val="24"/>
        </w:rPr>
        <w:t>-</w:t>
        <w:tab/>
        <w:t>Travis McCullough/Lisa Mellencamp/Angela Davis/Eddy/Daniels/Robert George</w:t>
      </w:r>
    </w:p>
    <w:p>
      <w:pPr>
        <w:pStyle w:val="Normal"/>
        <w:widowControl/>
        <w:tabs>
          <w:tab w:val="clear" w:pos="720"/>
          <w:tab w:val="left" w:pos="1260" w:leader="none"/>
        </w:tabs>
        <w:spacing w:lineRule="exact" w:line="220" w:before="120" w:after="0"/>
        <w:ind w:hanging="360" w:start="1080" w:end="0"/>
        <w:jc w:val="both"/>
        <w:rPr>
          <w:rFonts w:ascii="Times New Roman" w:hAnsi="Times New Roman" w:cs="Times New Roman"/>
          <w:sz w:val="24"/>
        </w:rPr>
      </w:pPr>
      <w:r>
        <w:rPr>
          <w:rFonts w:cs="Times New Roman" w:ascii="Times New Roman" w:hAnsi="Times New Roman"/>
          <w:sz w:val="24"/>
        </w:rPr>
        <w:t>6.</w:t>
        <w:tab/>
        <w:t>East Coast Power – Sale of power generation assets to El Paso Energy</w:t>
      </w:r>
    </w:p>
    <w:p>
      <w:pPr>
        <w:pStyle w:val="BodyText"/>
        <w:widowControl/>
        <w:numPr>
          <w:ilvl w:val="0"/>
          <w:numId w:val="9"/>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Lisa Mellencamp</w:t>
      </w:r>
    </w:p>
    <w:p>
      <w:pPr>
        <w:pStyle w:val="BodyText"/>
        <w:widowControl/>
        <w:numPr>
          <w:ilvl w:val="0"/>
          <w:numId w:val="9"/>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Update:  Sale closed 2/23/01; efforts underway to monetize contractual cash flows received in sale</w:t>
      </w:r>
    </w:p>
    <w:p>
      <w:pPr>
        <w:pStyle w:val="Normal"/>
        <w:widowControl/>
        <w:tabs>
          <w:tab w:val="clear" w:pos="720"/>
          <w:tab w:val="left" w:pos="1260" w:leader="none"/>
        </w:tabs>
        <w:spacing w:lineRule="exact" w:line="220" w:before="120" w:after="0"/>
        <w:ind w:hanging="360" w:start="1080" w:end="0"/>
        <w:jc w:val="both"/>
        <w:rPr>
          <w:rFonts w:ascii="Times New Roman" w:hAnsi="Times New Roman" w:cs="Times New Roman"/>
          <w:sz w:val="24"/>
        </w:rPr>
      </w:pPr>
      <w:r>
        <w:rPr>
          <w:rFonts w:cs="Times New Roman" w:ascii="Times New Roman" w:hAnsi="Times New Roman"/>
          <w:sz w:val="24"/>
        </w:rPr>
        <w:t>7.</w:t>
        <w:tab/>
        <w:t>Project Merlin – Purchase of Project Merlin debt and dissolution of vehicle</w:t>
      </w:r>
    </w:p>
    <w:p>
      <w:pPr>
        <w:pStyle w:val="BodyText"/>
        <w:widowControl/>
        <w:numPr>
          <w:ilvl w:val="0"/>
          <w:numId w:val="9"/>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Travis McCullough/Anne Koehler</w:t>
      </w:r>
    </w:p>
    <w:p>
      <w:pPr>
        <w:pStyle w:val="Normal"/>
        <w:widowControl/>
        <w:tabs>
          <w:tab w:val="clear" w:pos="720"/>
          <w:tab w:val="left" w:pos="1260" w:leader="none"/>
        </w:tabs>
        <w:spacing w:lineRule="exact" w:line="220" w:before="120" w:after="0"/>
        <w:ind w:hanging="360" w:start="1080" w:end="0"/>
        <w:jc w:val="both"/>
        <w:rPr>
          <w:rFonts w:ascii="Times New Roman" w:hAnsi="Times New Roman" w:cs="Times New Roman"/>
          <w:sz w:val="24"/>
        </w:rPr>
      </w:pPr>
      <w:r>
        <w:rPr>
          <w:rFonts w:cs="Times New Roman" w:ascii="Times New Roman" w:hAnsi="Times New Roman"/>
          <w:sz w:val="24"/>
        </w:rPr>
        <w:t>6.</w:t>
        <w:tab/>
        <w:t>Sithe – Restructure of gas sales agreement, equity purchase and negotiation of 15-year tolling agreement</w:t>
      </w:r>
    </w:p>
    <w:p>
      <w:pPr>
        <w:pStyle w:val="BodyText"/>
        <w:widowControl/>
        <w:numPr>
          <w:ilvl w:val="0"/>
          <w:numId w:val="9"/>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Sheila Tweed/Lisa Mellencamp (LeBoeuf Lamb)</w:t>
      </w:r>
    </w:p>
    <w:p>
      <w:pPr>
        <w:pStyle w:val="BodyText"/>
        <w:widowControl/>
        <w:numPr>
          <w:ilvl w:val="0"/>
          <w:numId w:val="9"/>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 xml:space="preserve">Update:  In documentation </w:t>
      </w:r>
    </w:p>
    <w:p>
      <w:pPr>
        <w:pStyle w:val="BodyText"/>
        <w:widowControl/>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344" w:leader="none"/>
          <w:tab w:val="left" w:pos="5106" w:leader="none"/>
          <w:tab w:val="left" w:pos="7254" w:leader="none"/>
        </w:tabs>
        <w:spacing w:lineRule="exact" w:line="220" w:before="240" w:after="0"/>
        <w:rPr>
          <w:rFonts w:ascii="Times New Roman" w:hAnsi="Times New Roman" w:cs="Times New Roman"/>
          <w:sz w:val="24"/>
        </w:rPr>
      </w:pPr>
      <w:r>
        <w:rPr>
          <w:rFonts w:cs="Times New Roman" w:ascii="Times New Roman" w:hAnsi="Times New Roman"/>
          <w:sz w:val="24"/>
        </w:rPr>
        <w:t>LITIGATION</w:t>
      </w:r>
    </w:p>
    <w:p>
      <w:pPr>
        <w:pStyle w:val="Normal"/>
        <w:widowControl/>
        <w:tabs>
          <w:tab w:val="clear" w:pos="720"/>
          <w:tab w:val="left" w:pos="1344" w:leader="none"/>
          <w:tab w:val="left" w:pos="5106" w:leader="none"/>
          <w:tab w:val="left" w:pos="7254" w:leader="none"/>
        </w:tabs>
        <w:spacing w:lineRule="exact" w:line="220"/>
        <w:rPr>
          <w:rFonts w:ascii="Times New Roman" w:hAnsi="Times New Roman" w:cs="Times New Roman"/>
          <w:sz w:val="24"/>
        </w:rPr>
      </w:pPr>
      <w:r>
        <w:rPr>
          <w:rFonts w:cs="Times New Roman" w:ascii="Times New Roman" w:hAnsi="Times New Roman"/>
          <w:sz w:val="24"/>
        </w:rPr>
        <w:t>(Text of “Status of ENA Litigation” Report from Richard Sanders to Mark Haedicke dated May 14, 2001)</w:t>
      </w:r>
    </w:p>
    <w:p>
      <w:pPr>
        <w:pStyle w:val="Body"/>
        <w:ind w:start="0" w:end="0"/>
        <w:rPr>
          <w:rFonts w:ascii="Times New Roman" w:hAnsi="Times New Roman" w:cs="Times New Roman"/>
          <w:b/>
          <w:sz w:val="24"/>
        </w:rPr>
      </w:pPr>
      <w:r>
        <w:rPr>
          <w:rFonts w:cs="Times New Roman" w:ascii="Times New Roman" w:hAnsi="Times New Roman"/>
          <w:b/>
          <w:sz w:val="24"/>
        </w:rPr>
      </w:r>
    </w:p>
    <w:p>
      <w:pPr>
        <w:pStyle w:val="Body"/>
        <w:ind w:start="0" w:end="0"/>
        <w:rPr>
          <w:rFonts w:ascii="Times New Roman" w:hAnsi="Times New Roman" w:cs="Times New Roman"/>
          <w:b/>
          <w:sz w:val="24"/>
        </w:rPr>
      </w:pPr>
      <w:r>
        <w:rPr>
          <w:rFonts w:cs="Times New Roman" w:ascii="Times New Roman" w:hAnsi="Times New Roman"/>
          <w:b/>
          <w:sz w:val="24"/>
        </w:rPr>
        <w:t>ACTIVE LITIGATION</w:t>
      </w:r>
    </w:p>
    <w:p>
      <w:pPr>
        <w:pStyle w:val="Body"/>
        <w:ind w:start="0" w:end="0"/>
        <w:rPr>
          <w:rFonts w:ascii="Times New Roman" w:hAnsi="Times New Roman" w:cs="Times New Roman"/>
          <w:b/>
          <w:sz w:val="24"/>
          <w:u w:val="single"/>
        </w:rPr>
      </w:pPr>
      <w:r>
        <w:rPr>
          <w:rFonts w:cs="Times New Roman" w:ascii="Times New Roman" w:hAnsi="Times New Roman"/>
          <w:b/>
          <w:sz w:val="24"/>
          <w:u w:val="single"/>
        </w:rPr>
      </w:r>
    </w:p>
    <w:p>
      <w:pPr>
        <w:pStyle w:val="Heading7"/>
        <w:ind w:hanging="0" w:start="0"/>
        <w:rPr>
          <w:rFonts w:ascii="Times New Roman" w:hAnsi="Times New Roman" w:cs="Times New Roman"/>
          <w:sz w:val="24"/>
        </w:rPr>
      </w:pPr>
      <w:r>
        <w:rPr>
          <w:rFonts w:cs="Times New Roman" w:ascii="Times New Roman" w:hAnsi="Times New Roman"/>
          <w:sz w:val="24"/>
        </w:rPr>
        <w:t>Berry Group, Ltd v. Enron North America</w:t>
      </w:r>
    </w:p>
    <w:p>
      <w:pPr>
        <w:pStyle w:val="Body"/>
        <w:ind w:start="0" w:end="0"/>
        <w:rPr>
          <w:rFonts w:ascii="Times New Roman" w:hAnsi="Times New Roman" w:cs="Times New Roman"/>
          <w:bCs/>
          <w:color w:val="000000"/>
          <w:sz w:val="24"/>
        </w:rPr>
      </w:pPr>
      <w:r>
        <w:rPr>
          <w:rFonts w:cs="Times New Roman" w:ascii="Times New Roman" w:hAnsi="Times New Roman"/>
          <w:bCs/>
          <w:color w:val="000000"/>
          <w:sz w:val="24"/>
        </w:rPr>
        <w:t>(Corpus Christi State District Court) (Bracewell &amp; Patterson/Cliff Gunter)</w:t>
      </w:r>
    </w:p>
    <w:p>
      <w:pPr>
        <w:pStyle w:val="Body"/>
        <w:ind w:start="0" w:end="0"/>
        <w:rPr>
          <w:rFonts w:ascii="Times New Roman" w:hAnsi="Times New Roman" w:cs="Times New Roman"/>
          <w:bCs/>
          <w:color w:val="000000"/>
          <w:sz w:val="24"/>
          <w:u w:val="single"/>
        </w:rPr>
      </w:pPr>
      <w:r>
        <w:rPr>
          <w:rFonts w:cs="Times New Roman" w:ascii="Times New Roman" w:hAnsi="Times New Roman"/>
          <w:bCs/>
          <w:color w:val="000000"/>
          <w:sz w:val="24"/>
          <w:u w:val="single"/>
        </w:rPr>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Berry Group is a Corpus Christi based company that lost over $6 million in the Qualitech bankruptcy.</w:t>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Berry alleges that Enron, through Kevin McConville, represented to the Berrys that Enron would pay for any losses the Berry’s incurred as a result of Qualitech bankruptcy.</w:t>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Kevin McConville’s deposition took place on January 11, 2001.  His testimony was favorable to Enron.</w:t>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Discovery is proceeding.</w:t>
      </w:r>
    </w:p>
    <w:p>
      <w:pPr>
        <w:pStyle w:val="Normal"/>
        <w:jc w:val="both"/>
        <w:rPr>
          <w:rFonts w:ascii="Times New Roman" w:hAnsi="Times New Roman" w:cs="Times New Roman"/>
          <w:b/>
          <w:bCs/>
          <w:i/>
          <w:i/>
          <w:sz w:val="24"/>
          <w:u w:val="single"/>
        </w:rPr>
      </w:pPr>
      <w:r>
        <w:rPr>
          <w:rFonts w:cs="Times New Roman" w:ascii="Times New Roman" w:hAnsi="Times New Roman"/>
          <w:b/>
          <w:bCs/>
          <w:i/>
          <w:sz w:val="24"/>
          <w:u w:val="single"/>
        </w:rPr>
      </w:r>
    </w:p>
    <w:p>
      <w:pPr>
        <w:pStyle w:val="Heading7"/>
        <w:ind w:hanging="0" w:start="0"/>
        <w:rPr>
          <w:rFonts w:ascii="Times New Roman" w:hAnsi="Times New Roman" w:cs="Times New Roman"/>
          <w:sz w:val="24"/>
        </w:rPr>
      </w:pPr>
      <w:r>
        <w:rPr>
          <w:rFonts w:cs="Times New Roman" w:ascii="Times New Roman" w:hAnsi="Times New Roman"/>
          <w:sz w:val="24"/>
        </w:rPr>
        <w:t>Citrus v. Duke LNG Sales Dispute</w:t>
      </w:r>
    </w:p>
    <w:p>
      <w:pPr>
        <w:pStyle w:val="Normal"/>
        <w:jc w:val="both"/>
        <w:rPr>
          <w:rFonts w:ascii="Times New Roman" w:hAnsi="Times New Roman" w:cs="Times New Roman"/>
          <w:bCs/>
          <w:sz w:val="24"/>
        </w:rPr>
      </w:pPr>
      <w:r>
        <w:rPr>
          <w:rFonts w:cs="Times New Roman" w:ascii="Times New Roman" w:hAnsi="Times New Roman"/>
          <w:bCs/>
          <w:sz w:val="24"/>
        </w:rPr>
        <w:t>(AAA Arbitration) (Susman Godfrey/Neal Manne)</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Duke has initiated the price renegotiation provision of the long term LNG sales agreement between Duke and Citrus.  Because the parties could not agree on a new price under the contract, the new price will be decided by a three-person arbitration panel.</w:t>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Duke’s position in arbitration is that the price cap provisions in the contract are void and that Duke is entitled to either receive a market price or cancel the contract.  Citrus filed a motion in the arbitration arguing that Duke’s position was not within the jurisdiction of the arbitration panel and should be struck.  The arbitration panel deferred its decision on Citrus’ motion until after the arbitration.</w:t>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The market-to-market value to Enron is over $250 million.</w:t>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Both sides have chosen arbitrators.  Enron chose Mike Beatty.  The neutral arbitrator is Joe Morris, former Federal District Judge and General Counsel of Shell.</w:t>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The arbitration is scheduled in August 2001.</w:t>
      </w:r>
    </w:p>
    <w:p>
      <w:pPr>
        <w:pStyle w:val="Normal"/>
        <w:numPr>
          <w:ilvl w:val="0"/>
          <w:numId w:val="27"/>
        </w:numPr>
        <w:jc w:val="both"/>
        <w:rPr>
          <w:rFonts w:ascii="Times New Roman" w:hAnsi="Times New Roman" w:cs="Times New Roman"/>
          <w:b/>
          <w:sz w:val="24"/>
        </w:rPr>
      </w:pPr>
      <w:r>
        <w:rPr>
          <w:rFonts w:cs="Times New Roman" w:ascii="Times New Roman" w:hAnsi="Times New Roman"/>
          <w:b/>
          <w:sz w:val="24"/>
        </w:rPr>
        <w:t>Discovery is proceeding.</w:t>
      </w:r>
    </w:p>
    <w:p>
      <w:pPr>
        <w:pStyle w:val="Normal"/>
        <w:rPr>
          <w:rFonts w:ascii="Times New Roman" w:hAnsi="Times New Roman" w:cs="Times New Roman"/>
          <w:b/>
          <w:sz w:val="24"/>
        </w:rPr>
      </w:pPr>
      <w:r>
        <w:rPr>
          <w:rFonts w:cs="Times New Roman" w:ascii="Times New Roman" w:hAnsi="Times New Roman"/>
          <w:b/>
          <w:sz w:val="24"/>
        </w:rPr>
      </w:r>
    </w:p>
    <w:p>
      <w:pPr>
        <w:pStyle w:val="Heading1"/>
        <w:tabs>
          <w:tab w:val="clear" w:pos="720"/>
          <w:tab w:val="left" w:pos="5106" w:leader="none"/>
          <w:tab w:val="left" w:pos="7254" w:leader="none"/>
        </w:tabs>
        <w:ind w:start="0" w:end="0"/>
        <w:rPr>
          <w:i/>
          <w:i/>
          <w:iCs/>
          <w:sz w:val="24"/>
        </w:rPr>
      </w:pPr>
      <w:r>
        <w:rPr>
          <w:i/>
          <w:iCs/>
          <w:sz w:val="24"/>
        </w:rPr>
        <w:t>Columbia and Enron v. TDC Energy Corporation</w:t>
      </w:r>
    </w:p>
    <w:p>
      <w:pPr>
        <w:pStyle w:val="Normal"/>
        <w:jc w:val="both"/>
        <w:rPr>
          <w:rFonts w:ascii="Times New Roman" w:hAnsi="Times New Roman" w:cs="Times New Roman"/>
          <w:sz w:val="24"/>
        </w:rPr>
      </w:pPr>
      <w:r>
        <w:rPr>
          <w:rFonts w:cs="Times New Roman" w:ascii="Times New Roman" w:hAnsi="Times New Roman"/>
          <w:sz w:val="24"/>
        </w:rPr>
        <w:t>(Federal District Court New Orleans) (Robert L. Redfearn, Jr.)</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Enron and Columbia Energy Services Corp. (“Columbia”) have sued TDC Energy Corporation (“TDC”) for breach of a hedge contract.  Enron and Columbia seek approximately $4.5 million damages.</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The hedge contract was an oral agreement reached by TDC and Columbia.  Enron purchased the contract from Columbia beginning in January 2000.</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In the course of settlement negotiations, TDC has not disputed that the parties reached an oral agreement.  Rather, TDC’s defense is simply that the Statute of Frauds prevents enforcement of the oral agreement.</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TDC has requested that the case be dismissed, arguing that the Gas Industry Standards Board contract already in effect between the parties contains a forum selection clause choosing Harris County as the exclusive forum.</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In the event a judge or jury determines that the hedge contract is not a legally enforceable obligation, Enron has reserved the right to seek contractual indemnification from Columbia.</w:t>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r>
    </w:p>
    <w:p>
      <w:pPr>
        <w:pStyle w:val="Heading7"/>
        <w:ind w:hanging="0" w:start="0"/>
        <w:rPr>
          <w:rFonts w:ascii="Times New Roman" w:hAnsi="Times New Roman" w:cs="Times New Roman"/>
          <w:sz w:val="24"/>
        </w:rPr>
      </w:pPr>
      <w:r>
        <w:rPr>
          <w:rFonts w:cs="Times New Roman" w:ascii="Times New Roman" w:hAnsi="Times New Roman"/>
          <w:sz w:val="24"/>
        </w:rPr>
        <w:t>Dennis McKenna v. ECT</w:t>
      </w:r>
    </w:p>
    <w:p>
      <w:pPr>
        <w:pStyle w:val="Normal"/>
        <w:jc w:val="both"/>
        <w:rPr>
          <w:rFonts w:ascii="Times New Roman" w:hAnsi="Times New Roman" w:cs="Times New Roman"/>
          <w:bCs/>
          <w:sz w:val="24"/>
        </w:rPr>
      </w:pPr>
      <w:r>
        <w:rPr>
          <w:rFonts w:cs="Times New Roman" w:ascii="Times New Roman" w:hAnsi="Times New Roman"/>
          <w:bCs/>
          <w:sz w:val="24"/>
        </w:rPr>
        <w:t>(AAA Arbitration in Harris County) (</w:t>
      </w:r>
      <w:r>
        <w:rPr>
          <w:rFonts w:cs="Times New Roman" w:ascii="Times New Roman" w:hAnsi="Times New Roman"/>
          <w:bCs/>
          <w:color w:val="000000"/>
          <w:sz w:val="24"/>
          <w:szCs w:val="18"/>
        </w:rPr>
        <w:t>Bracewell &amp; Patterson/Cliff Gunter and Ileana Blanco)</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19"/>
        </w:numPr>
        <w:tabs>
          <w:tab w:val="clear" w:pos="720"/>
          <w:tab w:val="left" w:pos="1080" w:leader="none"/>
        </w:tabs>
        <w:ind w:hanging="360" w:start="1080" w:end="0"/>
        <w:jc w:val="both"/>
        <w:rPr>
          <w:rFonts w:ascii="Times New Roman" w:hAnsi="Times New Roman" w:cs="Times New Roman"/>
          <w:bCs/>
          <w:sz w:val="24"/>
        </w:rPr>
      </w:pPr>
      <w:r>
        <w:rPr>
          <w:rFonts w:cs="Times New Roman" w:ascii="Times New Roman" w:hAnsi="Times New Roman"/>
          <w:bCs/>
          <w:sz w:val="24"/>
        </w:rPr>
        <w:t>ECT entered into a Consulting Agreement with McKenna in 1997 in which McKenna was to provide consulting services in connection with a proposed power plant in Mexico.  The contract called for McKenna to earn a success fee of $1.5 million.</w:t>
      </w:r>
    </w:p>
    <w:p>
      <w:pPr>
        <w:pStyle w:val="Normal"/>
        <w:numPr>
          <w:ilvl w:val="0"/>
          <w:numId w:val="19"/>
        </w:numPr>
        <w:tabs>
          <w:tab w:val="clear" w:pos="720"/>
          <w:tab w:val="left" w:pos="1080" w:leader="none"/>
        </w:tabs>
        <w:ind w:hanging="360" w:start="1080" w:end="0"/>
        <w:jc w:val="both"/>
        <w:rPr>
          <w:rFonts w:ascii="Times New Roman" w:hAnsi="Times New Roman" w:cs="Times New Roman"/>
          <w:bCs/>
          <w:sz w:val="24"/>
        </w:rPr>
      </w:pPr>
      <w:r>
        <w:rPr>
          <w:rFonts w:cs="Times New Roman" w:ascii="Times New Roman" w:hAnsi="Times New Roman"/>
          <w:bCs/>
          <w:sz w:val="24"/>
        </w:rPr>
        <w:t>ECT and McKenna parted ways in 1998.  When McKenna heard about the Vitro project, he requested that ECT pay him the success fee.  ECT refused and McKenna has filed for arbitration</w:t>
      </w:r>
    </w:p>
    <w:p>
      <w:pPr>
        <w:pStyle w:val="Normal"/>
        <w:numPr>
          <w:ilvl w:val="0"/>
          <w:numId w:val="19"/>
        </w:numPr>
        <w:tabs>
          <w:tab w:val="clear" w:pos="720"/>
          <w:tab w:val="left" w:pos="1080" w:leader="none"/>
        </w:tabs>
        <w:ind w:hanging="360" w:start="1080" w:end="0"/>
        <w:jc w:val="both"/>
        <w:rPr>
          <w:rFonts w:ascii="Times New Roman" w:hAnsi="Times New Roman" w:cs="Times New Roman"/>
          <w:bCs/>
          <w:sz w:val="24"/>
        </w:rPr>
      </w:pPr>
      <w:r>
        <w:rPr>
          <w:rFonts w:cs="Times New Roman" w:ascii="Times New Roman" w:hAnsi="Times New Roman"/>
          <w:bCs/>
          <w:sz w:val="24"/>
        </w:rPr>
        <w:t>ECT has named Tom McDade as its party designate arbitrator.  The neutral arbitrator is Finus Cowen.</w:t>
      </w:r>
    </w:p>
    <w:p>
      <w:pPr>
        <w:pStyle w:val="Normal"/>
        <w:numPr>
          <w:ilvl w:val="0"/>
          <w:numId w:val="19"/>
        </w:numPr>
        <w:tabs>
          <w:tab w:val="clear" w:pos="720"/>
          <w:tab w:val="left" w:pos="1080" w:leader="none"/>
        </w:tabs>
        <w:ind w:hanging="360" w:start="1080" w:end="0"/>
        <w:jc w:val="both"/>
        <w:rPr>
          <w:rFonts w:ascii="Times New Roman" w:hAnsi="Times New Roman" w:cs="Times New Roman"/>
          <w:bCs/>
          <w:sz w:val="24"/>
        </w:rPr>
      </w:pPr>
      <w:r>
        <w:rPr>
          <w:rFonts w:cs="Times New Roman" w:ascii="Times New Roman" w:hAnsi="Times New Roman"/>
          <w:bCs/>
          <w:sz w:val="24"/>
        </w:rPr>
        <w:t>The arbitration is scheduled for August 20, 2001.</w:t>
      </w:r>
      <w:r>
        <w:br w:type="page"/>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r>
    </w:p>
    <w:p>
      <w:pPr>
        <w:pStyle w:val="Heading7"/>
        <w:ind w:hanging="0" w:start="0"/>
        <w:rPr>
          <w:rFonts w:ascii="Times New Roman" w:hAnsi="Times New Roman" w:cs="Times New Roman"/>
          <w:bCs/>
          <w:sz w:val="24"/>
        </w:rPr>
      </w:pPr>
      <w:r>
        <w:rPr>
          <w:rFonts w:cs="Times New Roman" w:ascii="Times New Roman" w:hAnsi="Times New Roman"/>
          <w:bCs/>
          <w:sz w:val="24"/>
        </w:rPr>
        <w:t>Dow Waiver Litigation</w:t>
      </w:r>
    </w:p>
    <w:p>
      <w:pPr>
        <w:pStyle w:val="Normal"/>
        <w:jc w:val="both"/>
        <w:rPr>
          <w:rFonts w:ascii="Times New Roman" w:hAnsi="Times New Roman" w:cs="Times New Roman"/>
          <w:sz w:val="24"/>
        </w:rPr>
      </w:pPr>
      <w:r>
        <w:rPr>
          <w:rFonts w:cs="Times New Roman" w:ascii="Times New Roman" w:hAnsi="Times New Roman"/>
          <w:sz w:val="24"/>
        </w:rPr>
        <w:t>(Harris County State District Court) (Susman Godfrey/Bracewell &amp; Patterson/Vinson &amp; Elkins)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Plaintiffs have filed a class action alleging that Houston Pipeline failed to take ratably from gas wells in West Texas.</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Plaintiffs allege $466 million in damages</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Our preliminary damage model indicates damages of $60 - $160 million if Plaintiffs recover on their claim.</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The trial is expected within 12-24 months.</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On August 24, 2000 the trial court issued a preliminary ruling that the new class requested by the Plaintiffs could not be certified.  The court also granted Enron’s motion for summary judgement on the Plaintiff’s Dow Waiver claim.  The court denied Enron’s motion for summary judgment on the statute of limitations defense.</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The Plaintiffs filed a motion for a rehearing of the trial court’s rulings.  On January 18</w:t>
      </w:r>
      <w:r>
        <w:rPr>
          <w:rFonts w:cs="Times New Roman" w:ascii="Times New Roman" w:hAnsi="Times New Roman"/>
          <w:sz w:val="24"/>
          <w:vertAlign w:val="superscript"/>
        </w:rPr>
        <w:t>th</w:t>
      </w:r>
      <w:r>
        <w:rPr>
          <w:rFonts w:cs="Times New Roman" w:ascii="Times New Roman" w:hAnsi="Times New Roman"/>
          <w:sz w:val="24"/>
        </w:rPr>
        <w:t>, the Court denied the motion for rehearing.</w:t>
      </w:r>
    </w:p>
    <w:p>
      <w:pPr>
        <w:pStyle w:val="Normal"/>
        <w:numPr>
          <w:ilvl w:val="0"/>
          <w:numId w:val="28"/>
        </w:numPr>
        <w:jc w:val="both"/>
        <w:rPr>
          <w:rFonts w:ascii="Times New Roman" w:hAnsi="Times New Roman" w:cs="Times New Roman"/>
          <w:b/>
          <w:bCs/>
          <w:sz w:val="24"/>
        </w:rPr>
      </w:pPr>
      <w:r>
        <w:rPr>
          <w:rFonts w:cs="Times New Roman" w:ascii="Times New Roman" w:hAnsi="Times New Roman"/>
          <w:b/>
          <w:bCs/>
          <w:sz w:val="24"/>
        </w:rPr>
        <w:t>Plaintiffs have appealed.</w:t>
      </w:r>
    </w:p>
    <w:p>
      <w:pPr>
        <w:pStyle w:val="Normal"/>
        <w:jc w:val="both"/>
        <w:rPr>
          <w:rFonts w:ascii="Times New Roman" w:hAnsi="Times New Roman" w:cs="Times New Roman"/>
          <w:b/>
          <w:bCs/>
          <w:i/>
          <w:i/>
          <w:sz w:val="24"/>
          <w:u w:val="single"/>
        </w:rPr>
      </w:pPr>
      <w:r>
        <w:rPr>
          <w:rFonts w:cs="Times New Roman" w:ascii="Times New Roman" w:hAnsi="Times New Roman"/>
          <w:b/>
          <w:bCs/>
          <w:i/>
          <w:sz w:val="24"/>
          <w:u w:val="single"/>
        </w:rPr>
      </w:r>
    </w:p>
    <w:p>
      <w:pPr>
        <w:pStyle w:val="Heading1"/>
        <w:tabs>
          <w:tab w:val="clear" w:pos="720"/>
          <w:tab w:val="left" w:pos="5106" w:leader="none"/>
          <w:tab w:val="left" w:pos="7254" w:leader="none"/>
        </w:tabs>
        <w:ind w:start="0" w:end="0"/>
        <w:rPr>
          <w:i/>
          <w:i/>
          <w:iCs/>
          <w:sz w:val="24"/>
        </w:rPr>
      </w:pPr>
      <w:r>
        <w:rPr>
          <w:i/>
          <w:iCs/>
          <w:sz w:val="24"/>
        </w:rPr>
        <w:t>Enron v. Antarra Resources</w:t>
      </w:r>
    </w:p>
    <w:p>
      <w:pPr>
        <w:pStyle w:val="Normal"/>
        <w:jc w:val="both"/>
        <w:rPr>
          <w:rFonts w:ascii="Times New Roman" w:hAnsi="Times New Roman" w:cs="Times New Roman"/>
          <w:sz w:val="24"/>
        </w:rPr>
      </w:pPr>
      <w:r>
        <w:rPr>
          <w:rFonts w:cs="Times New Roman" w:ascii="Times New Roman" w:hAnsi="Times New Roman"/>
          <w:sz w:val="24"/>
        </w:rPr>
        <w:t xml:space="preserve">(Harris County State District Court) (Buck, Keenan &amp; Gage/Jim Keenan) </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Badack Resources, a subsidiary of Antarra, defaulted on a gas sales agreement with ENA.</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ENA’s damages are approximately $8.4 million.</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Antarra was sued under a corporate guaranty.</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ENA filed a motion for summary judgment on the issue of liability under the gas sales contract.  On December 12, 2000, the Court granted Enron’s motion.</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Discovery is proceeding on the issue of damages.</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Plaintiffs have filed a counterclaim alleging breach of a confidentiality agreement and fraud.</w:t>
      </w:r>
    </w:p>
    <w:p>
      <w:pPr>
        <w:pStyle w:val="Normal"/>
        <w:rPr>
          <w:rFonts w:ascii="Times New Roman" w:hAnsi="Times New Roman" w:cs="Times New Roman"/>
          <w:sz w:val="24"/>
        </w:rPr>
      </w:pPr>
      <w:r>
        <w:rPr>
          <w:rFonts w:cs="Times New Roman" w:ascii="Times New Roman" w:hAnsi="Times New Roman"/>
          <w:sz w:val="24"/>
        </w:rPr>
      </w:r>
    </w:p>
    <w:p>
      <w:pPr>
        <w:pStyle w:val="Heading1"/>
        <w:numPr>
          <w:ilvl w:val="0"/>
          <w:numId w:val="0"/>
        </w:numPr>
        <w:ind w:hanging="0" w:start="0"/>
        <w:rPr>
          <w:i/>
          <w:i/>
          <w:iCs/>
          <w:sz w:val="24"/>
        </w:rPr>
      </w:pPr>
      <w:r>
        <w:rPr>
          <w:i/>
          <w:iCs/>
          <w:sz w:val="24"/>
        </w:rPr>
        <w:t>Enron Economic Development Corp. v. Intrust</w:t>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sz w:val="24"/>
        </w:rPr>
        <w:t>(Harris County State District Court – Gibbs &amp; Bruns/Jean Frizzell)</w:t>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sz w:val="24"/>
        </w:rPr>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Intrust has sued EEDC, Houston Economic Opportunity Fund (“HEOF”), ECT, Enron Corp., Mark Lay, and Gene Humphrey alleging breach of fiduciary duty, fraud, breach of contract, and defamation after Intrust was terminated as co-general partner of HEOF.</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The trial court stayed all discovery pending the appraisal process outlined in the partnership agreement.  The appraisal process is now completed and Intrust partnership interest has been valued at approximately $35,000.00.</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Discovery is proceeding.</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Notwithstanding the appraisal, Intrust alleges damages of over $1 million.</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 xml:space="preserve">Trial is scheduled for July 16, 2001.  </w:t>
      </w:r>
      <w:r>
        <w:rPr>
          <w:rFonts w:cs="Times New Roman" w:ascii="Times New Roman" w:hAnsi="Times New Roman"/>
          <w:b/>
          <w:bCs/>
          <w:sz w:val="24"/>
        </w:rPr>
        <w:t>The parties are filing a joint motion for continuance.</w:t>
      </w:r>
    </w:p>
    <w:p>
      <w:pPr>
        <w:pStyle w:val="Heading1"/>
        <w:numPr>
          <w:ilvl w:val="0"/>
          <w:numId w:val="0"/>
        </w:numPr>
        <w:ind w:hanging="0" w:start="0"/>
        <w:rPr>
          <w:rFonts w:ascii="Times New Roman" w:hAnsi="Times New Roman" w:cs="Times New Roman"/>
          <w:sz w:val="24"/>
        </w:rPr>
      </w:pPr>
      <w:r>
        <w:rPr>
          <w:rFonts w:cs="Times New Roman"/>
          <w:sz w:val="24"/>
        </w:rPr>
      </w:r>
    </w:p>
    <w:p>
      <w:pPr>
        <w:pStyle w:val="Heading1"/>
        <w:numPr>
          <w:ilvl w:val="0"/>
          <w:numId w:val="0"/>
        </w:numPr>
        <w:ind w:hanging="0" w:start="0"/>
        <w:rPr>
          <w:i/>
          <w:i/>
          <w:iCs/>
          <w:sz w:val="24"/>
        </w:rPr>
      </w:pPr>
      <w:r>
        <w:rPr>
          <w:i/>
          <w:iCs/>
          <w:sz w:val="24"/>
        </w:rPr>
        <w:t>Enron Power Marketing, Inc. v. California Power Exchange</w:t>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sz w:val="24"/>
        </w:rPr>
        <w:t>(Los Angeles Federal District Court – Quinn Emanuel) (Federal Energy Regulatory Commission – Bracewell &amp; Patterson)</w:t>
      </w:r>
    </w:p>
    <w:p>
      <w:pPr>
        <w:pStyle w:val="Normal"/>
        <w:numPr>
          <w:ilvl w:val="0"/>
          <w:numId w:val="0"/>
        </w:numPr>
        <w:ind w:hanging="0" w:start="0"/>
        <w:jc w:val="both"/>
        <w:rPr>
          <w:rFonts w:ascii="Times New Roman" w:hAnsi="Times New Roman" w:cs="Times New Roman"/>
          <w:i/>
          <w:i/>
          <w:sz w:val="24"/>
          <w:u w:val="single"/>
        </w:rPr>
      </w:pPr>
      <w:r>
        <w:rPr>
          <w:rFonts w:cs="Times New Roman" w:ascii="Times New Roman" w:hAnsi="Times New Roman"/>
          <w:i/>
          <w:sz w:val="24"/>
          <w:u w:val="single"/>
        </w:rPr>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On January 31, 2001, the CalPx drew down on $36.5 million of EPMI’s collateral as a result of EMPI’s alleged breach of the CalPx tariff.</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CalPx also threatened to draw down on an additional $110 million of EPMI’s collateral if EPMI did not pay its proportional share of the “charge backs” resulting from SCE and PG&amp;E defaults in the ISO Market.</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EPMI filed suit in Los Angeles Federal District Court requesting that the Court: (1) grant a temporary injunction placing the $36.5 million in escrow pending resolution of the CalPx breach of tariff claim, and (2) enjoin any assessment of “charge backs” until the issue can be resolved at FERC.</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On February 9, 2001, the District Court granted EPMI’s request for a temporary restraining order.  EPMI and CalPx have now entered into a stipulated injunction granting all of EPMI’s requested relief.</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EMPI also filed a FERC action requesting that FERC interpret the CalPx charge back provisions of the CalPx tariff.</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 xml:space="preserve">FERC issued a ruling that the Px charge back methodology was unjust and unreasonable.  </w:t>
      </w:r>
      <w:r>
        <w:rPr>
          <w:rFonts w:cs="Times New Roman" w:ascii="Times New Roman" w:hAnsi="Times New Roman"/>
          <w:b/>
          <w:bCs/>
          <w:sz w:val="24"/>
        </w:rPr>
        <w:t>Notwithstanding, the Px refuses to refund the collateral.  EPMI has filed a request for clarification with FERC of its previous order.</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Heading1"/>
        <w:tabs>
          <w:tab w:val="clear" w:pos="720"/>
          <w:tab w:val="left" w:pos="5106" w:leader="none"/>
          <w:tab w:val="left" w:pos="7254" w:leader="none"/>
        </w:tabs>
        <w:ind w:start="0" w:end="0"/>
        <w:rPr>
          <w:i/>
          <w:i/>
          <w:iCs/>
          <w:sz w:val="24"/>
        </w:rPr>
      </w:pPr>
      <w:r>
        <w:rPr>
          <w:i/>
          <w:iCs/>
          <w:sz w:val="24"/>
        </w:rPr>
        <w:t>Enron Power Marketing v. Calpine Corp.</w:t>
      </w:r>
    </w:p>
    <w:p>
      <w:pPr>
        <w:pStyle w:val="Normal"/>
        <w:jc w:val="both"/>
        <w:rPr>
          <w:rFonts w:ascii="Times New Roman" w:hAnsi="Times New Roman" w:cs="Times New Roman"/>
          <w:sz w:val="24"/>
        </w:rPr>
      </w:pPr>
      <w:r>
        <w:rPr>
          <w:rFonts w:cs="Times New Roman" w:ascii="Times New Roman" w:hAnsi="Times New Roman"/>
          <w:sz w:val="24"/>
        </w:rPr>
        <w:t>(Houston Federal District Court) (Bill Ogden)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EPMI filed a lawsuit against Calpine alleging that Calpine breached its contract with EPMI to assume certain power contracts EPMI had with the Lower Colorado River Authority.</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 xml:space="preserve">EPMI's damages will depend on the cost of covering Calpine's position.  The damages are estimated to be </w:t>
      </w:r>
      <w:r>
        <w:rPr>
          <w:rFonts w:cs="Times New Roman" w:ascii="Times New Roman" w:hAnsi="Times New Roman"/>
          <w:b/>
          <w:bCs/>
          <w:sz w:val="24"/>
        </w:rPr>
        <w:t>$0-5 million</w:t>
      </w:r>
      <w:r>
        <w:rPr>
          <w:rFonts w:cs="Times New Roman" w:ascii="Times New Roman" w:hAnsi="Times New Roman"/>
          <w:sz w:val="24"/>
        </w:rPr>
        <w:t>.</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On March 6, 2000, Calpine filed an answer and removed this case to Federal Court.</w:t>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Discovery is proceeding.</w:t>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Trial is set for July/August 2001.</w:t>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r>
    </w:p>
    <w:p>
      <w:pPr>
        <w:pStyle w:val="Normal"/>
        <w:jc w:val="both"/>
        <w:rPr>
          <w:rFonts w:ascii="Times New Roman" w:hAnsi="Times New Roman" w:cs="Times New Roman"/>
          <w:b/>
          <w:bCs/>
          <w:sz w:val="24"/>
        </w:rPr>
      </w:pPr>
      <w:r>
        <w:rPr>
          <w:rFonts w:cs="Times New Roman" w:ascii="Times New Roman" w:hAnsi="Times New Roman"/>
          <w:b/>
          <w:bCs/>
          <w:i/>
          <w:sz w:val="24"/>
          <w:u w:val="single"/>
        </w:rPr>
        <w:t>EnSerCo, L.L.C.v. Drilling Rig Noram 253 and SAM Offshore, Ltd.</w:t>
      </w:r>
    </w:p>
    <w:p>
      <w:pPr>
        <w:pStyle w:val="Normal"/>
        <w:jc w:val="both"/>
        <w:rPr>
          <w:rFonts w:ascii="Times New Roman" w:hAnsi="Times New Roman" w:cs="Times New Roman"/>
          <w:sz w:val="24"/>
        </w:rPr>
      </w:pPr>
      <w:r>
        <w:rPr>
          <w:rFonts w:cs="Times New Roman" w:ascii="Times New Roman" w:hAnsi="Times New Roman"/>
          <w:sz w:val="24"/>
        </w:rPr>
        <w:t>(Southern District, Galveston Division) (Gardere Wynne Sewell &amp; Riggs)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Sam Offshore defaulted on $15,500,000 Promissory Note</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Enserco seized the vessel on October 15, 1999.  The rig is located in Galveston</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Enserco filed suit against the guarantors of the Sam Offshore loan.  The guarantors are foreign companies.</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Enserco purchased the rig in a judicial foreclosure sale for $1 million.  We are attempting to sell this rig.</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Prior to the trial, the defendants agreed to a deficiency judgment in favor of Enserco.  Enserco agreed to dismiss fraudulent transfer claims against two defendants.</w:t>
      </w:r>
    </w:p>
    <w:p>
      <w:pPr>
        <w:pStyle w:val="Normal"/>
        <w:numPr>
          <w:ilvl w:val="0"/>
          <w:numId w:val="28"/>
        </w:numPr>
        <w:jc w:val="both"/>
        <w:rPr>
          <w:rFonts w:ascii="Times New Roman" w:hAnsi="Times New Roman" w:cs="Times New Roman"/>
          <w:b/>
          <w:bCs/>
          <w:sz w:val="24"/>
        </w:rPr>
      </w:pPr>
      <w:r>
        <w:rPr>
          <w:rFonts w:cs="Times New Roman" w:ascii="Times New Roman" w:hAnsi="Times New Roman"/>
          <w:sz w:val="24"/>
        </w:rPr>
        <w:t>Discovery is proceeding concerning the amount of the deficiency.</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 xml:space="preserve">Trial has been set for </w:t>
      </w:r>
      <w:r>
        <w:rPr>
          <w:rFonts w:cs="Times New Roman" w:ascii="Times New Roman" w:hAnsi="Times New Roman"/>
          <w:b/>
          <w:bCs/>
          <w:sz w:val="24"/>
        </w:rPr>
        <w:t>May 25, 2001</w:t>
      </w:r>
      <w:r>
        <w:rPr>
          <w:rFonts w:cs="Times New Roman" w:ascii="Times New Roman" w:hAnsi="Times New Roman"/>
          <w:sz w:val="24"/>
        </w:rPr>
        <w:t>.</w:t>
      </w:r>
    </w:p>
    <w:p>
      <w:pPr>
        <w:pStyle w:val="Normal"/>
        <w:numPr>
          <w:ilvl w:val="0"/>
          <w:numId w:val="0"/>
        </w:numPr>
        <w:ind w:hanging="0" w:start="0"/>
        <w:jc w:val="both"/>
        <w:rPr>
          <w:rFonts w:ascii="Times New Roman" w:hAnsi="Times New Roman" w:cs="Times New Roman"/>
          <w:i/>
          <w:i/>
          <w:sz w:val="24"/>
          <w:u w:val="single"/>
        </w:rPr>
      </w:pPr>
      <w:r>
        <w:rPr>
          <w:rFonts w:cs="Times New Roman" w:ascii="Times New Roman" w:hAnsi="Times New Roman"/>
          <w:i/>
          <w:sz w:val="24"/>
          <w:u w:val="single"/>
        </w:rPr>
      </w:r>
    </w:p>
    <w:p>
      <w:pPr>
        <w:pStyle w:val="Normal"/>
        <w:numPr>
          <w:ilvl w:val="0"/>
          <w:numId w:val="0"/>
        </w:numPr>
        <w:ind w:hanging="0" w:start="0"/>
        <w:jc w:val="both"/>
        <w:rPr>
          <w:rFonts w:ascii="Times New Roman" w:hAnsi="Times New Roman" w:cs="Times New Roman"/>
          <w:b/>
          <w:bCs/>
          <w:sz w:val="24"/>
        </w:rPr>
      </w:pPr>
      <w:r>
        <w:rPr>
          <w:rFonts w:cs="Times New Roman" w:ascii="Times New Roman" w:hAnsi="Times New Roman"/>
          <w:b/>
          <w:bCs/>
          <w:i/>
          <w:sz w:val="24"/>
          <w:u w:val="single"/>
        </w:rPr>
        <w:t>Glatzer v. Enron Corp. and Enron Finance Corp.</w:t>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sz w:val="24"/>
        </w:rPr>
        <w:t>(New York state court) (Susman Godfrey)</w:t>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sz w:val="24"/>
        </w:rPr>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Plaintiff’s damages are unspecified, but he has offered to settle for $1 million</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 xml:space="preserve">ECT filed a motion for summary judgment and on July 14, 1999, the Court granted ECT’s motion for summary judgment. </w:t>
      </w:r>
    </w:p>
    <w:p>
      <w:pPr>
        <w:pStyle w:val="Normal"/>
        <w:numPr>
          <w:ilvl w:val="0"/>
          <w:numId w:val="28"/>
        </w:numPr>
        <w:jc w:val="both"/>
        <w:rPr>
          <w:rFonts w:ascii="Times New Roman" w:hAnsi="Times New Roman" w:cs="Times New Roman"/>
          <w:i/>
          <w:i/>
          <w:sz w:val="24"/>
          <w:u w:val="single"/>
        </w:rPr>
      </w:pPr>
      <w:r>
        <w:rPr>
          <w:rFonts w:cs="Times New Roman" w:ascii="Times New Roman" w:hAnsi="Times New Roman"/>
          <w:sz w:val="24"/>
        </w:rPr>
        <w:t>The plaintiff appealed the granting of the motion for summary judgment.  On December 10, 2001, the Court of Appeals affirmed the trial court’s decision granting summary judgment.</w:t>
      </w:r>
    </w:p>
    <w:p>
      <w:pPr>
        <w:pStyle w:val="Normal"/>
        <w:numPr>
          <w:ilvl w:val="0"/>
          <w:numId w:val="28"/>
        </w:numPr>
        <w:jc w:val="both"/>
        <w:rPr>
          <w:rFonts w:ascii="Times New Roman" w:hAnsi="Times New Roman" w:cs="Times New Roman"/>
          <w:i/>
          <w:i/>
          <w:sz w:val="24"/>
          <w:u w:val="single"/>
        </w:rPr>
      </w:pPr>
      <w:r>
        <w:rPr>
          <w:rFonts w:cs="Times New Roman" w:ascii="Times New Roman" w:hAnsi="Times New Roman"/>
          <w:sz w:val="24"/>
        </w:rPr>
        <w:t>Plaintiff has recently offered to settle for $500,000.  This offer was rejected.</w:t>
      </w:r>
    </w:p>
    <w:p>
      <w:pPr>
        <w:pStyle w:val="Normal"/>
        <w:jc w:val="both"/>
        <w:rPr>
          <w:rFonts w:ascii="Times New Roman" w:hAnsi="Times New Roman" w:cs="Times New Roman"/>
          <w:i/>
          <w:i/>
          <w:sz w:val="24"/>
          <w:u w:val="single"/>
        </w:rPr>
      </w:pPr>
      <w:r>
        <w:rPr>
          <w:rFonts w:cs="Times New Roman" w:ascii="Times New Roman" w:hAnsi="Times New Roman"/>
          <w:i/>
          <w:sz w:val="24"/>
          <w:u w:val="single"/>
        </w:rPr>
      </w:r>
    </w:p>
    <w:p>
      <w:pPr>
        <w:pStyle w:val="Heading6"/>
        <w:ind w:hanging="0" w:start="0"/>
        <w:rPr>
          <w:rFonts w:ascii="Times New Roman" w:hAnsi="Times New Roman" w:cs="Times New Roman"/>
          <w:b/>
          <w:bCs/>
          <w:sz w:val="24"/>
          <w:u w:val="single"/>
        </w:rPr>
      </w:pPr>
      <w:r>
        <w:rPr>
          <w:rFonts w:cs="Times New Roman" w:ascii="Times New Roman" w:hAnsi="Times New Roman"/>
          <w:b/>
          <w:bCs/>
          <w:sz w:val="24"/>
          <w:u w:val="single"/>
        </w:rPr>
        <w:t>Grynberg</w:t>
      </w:r>
    </w:p>
    <w:p>
      <w:pPr>
        <w:pStyle w:val="Footer"/>
        <w:tabs>
          <w:tab w:val="clear" w:pos="4320"/>
          <w:tab w:val="clear" w:pos="8640"/>
          <w:tab w:val="left" w:pos="540" w:leader="none"/>
        </w:tabs>
        <w:rPr>
          <w:rFonts w:ascii="Times New Roman" w:hAnsi="Times New Roman" w:cs="Times New Roman"/>
          <w:sz w:val="24"/>
        </w:rPr>
      </w:pPr>
      <w:r>
        <w:rPr>
          <w:rFonts w:cs="Times New Roman" w:ascii="Times New Roman" w:hAnsi="Times New Roman"/>
          <w:sz w:val="24"/>
        </w:rPr>
        <w:t>(Wyoming Federal Court) (Gibbs &amp; Bruns) (Vinson &amp; Elkins)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Qui tam action brought against HPL, LRC, and all pipeline companies in America alleging fraudulent practices in the measurement of gas.</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All of the cases have been consolidated in Wyoming.</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 xml:space="preserve">On March 18, 2000, the court heard oral arguments on the defendants’ motion to dismiss for failure to plead fraud with particularity.  The Court has not yet issued a decision. </w:t>
      </w:r>
    </w:p>
    <w:p>
      <w:pPr>
        <w:pStyle w:val="Normal"/>
        <w:jc w:val="both"/>
        <w:rPr>
          <w:rFonts w:ascii="Times New Roman" w:hAnsi="Times New Roman" w:cs="Times New Roman"/>
          <w:i/>
          <w:i/>
          <w:sz w:val="24"/>
          <w:u w:val="single"/>
        </w:rPr>
      </w:pPr>
      <w:r>
        <w:rPr>
          <w:rFonts w:cs="Times New Roman" w:ascii="Times New Roman" w:hAnsi="Times New Roman"/>
          <w:i/>
          <w:sz w:val="24"/>
          <w:u w:val="single"/>
        </w:rPr>
      </w:r>
    </w:p>
    <w:p>
      <w:pPr>
        <w:pStyle w:val="Heading7"/>
        <w:ind w:hanging="0" w:start="0"/>
        <w:rPr>
          <w:rFonts w:ascii="Times New Roman" w:hAnsi="Times New Roman" w:cs="Times New Roman"/>
          <w:bCs/>
          <w:sz w:val="24"/>
        </w:rPr>
      </w:pPr>
      <w:r>
        <w:rPr>
          <w:rFonts w:cs="Times New Roman" w:ascii="Times New Roman" w:hAnsi="Times New Roman"/>
          <w:bCs/>
          <w:sz w:val="24"/>
        </w:rPr>
        <w:t>Hendricks, City of San Francisco, and Sweetwater</w:t>
      </w:r>
    </w:p>
    <w:p>
      <w:pPr>
        <w:pStyle w:val="Normal"/>
        <w:jc w:val="both"/>
        <w:rPr>
          <w:rFonts w:ascii="Times New Roman" w:hAnsi="Times New Roman" w:cs="Times New Roman"/>
          <w:sz w:val="24"/>
        </w:rPr>
      </w:pPr>
      <w:r>
        <w:rPr>
          <w:rFonts w:cs="Times New Roman" w:ascii="Times New Roman" w:hAnsi="Times New Roman"/>
          <w:sz w:val="24"/>
        </w:rPr>
        <w:t>(Gibbs &amp; Bruns/Brobeck, Pflager &amp; Harrison</w:t>
      </w:r>
      <w:r>
        <w:rPr>
          <w:rFonts w:cs="Times New Roman" w:ascii="Times New Roman" w:hAnsi="Times New Roman"/>
          <w:color w:val="000000"/>
          <w:sz w:val="24"/>
          <w:szCs w:val="18"/>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3"/>
        </w:numPr>
        <w:jc w:val="both"/>
        <w:rPr>
          <w:rFonts w:ascii="Times New Roman" w:hAnsi="Times New Roman" w:cs="Times New Roman"/>
          <w:sz w:val="24"/>
        </w:rPr>
      </w:pPr>
      <w:r>
        <w:rPr>
          <w:rFonts w:cs="Times New Roman" w:ascii="Times New Roman" w:hAnsi="Times New Roman"/>
          <w:sz w:val="24"/>
        </w:rPr>
        <w:t>As a result of the California energy crisis, EPMI and EES have been sued in four separate cases.  All four lawsuits allege violations of the California anti-trust and unfair competition laws.</w:t>
      </w:r>
    </w:p>
    <w:p>
      <w:pPr>
        <w:pStyle w:val="Normal"/>
        <w:numPr>
          <w:ilvl w:val="1"/>
          <w:numId w:val="13"/>
        </w:numPr>
        <w:jc w:val="both"/>
        <w:rPr>
          <w:rFonts w:ascii="Times New Roman" w:hAnsi="Times New Roman" w:cs="Times New Roman"/>
          <w:sz w:val="24"/>
        </w:rPr>
      </w:pPr>
      <w:r>
        <w:rPr>
          <w:rFonts w:cs="Times New Roman" w:ascii="Times New Roman" w:hAnsi="Times New Roman"/>
          <w:i/>
          <w:iCs/>
          <w:sz w:val="24"/>
          <w:u w:val="single"/>
        </w:rPr>
        <w:t>Hendricks</w:t>
      </w:r>
      <w:r>
        <w:rPr>
          <w:rFonts w:cs="Times New Roman" w:ascii="Times New Roman" w:hAnsi="Times New Roman"/>
          <w:sz w:val="24"/>
        </w:rPr>
        <w:t xml:space="preserve"> is a class action filed in San Diego on behalf of all Californians.</w:t>
      </w:r>
    </w:p>
    <w:p>
      <w:pPr>
        <w:pStyle w:val="Normal"/>
        <w:ind w:start="1080" w:end="0"/>
        <w:jc w:val="both"/>
        <w:rPr>
          <w:rFonts w:ascii="Times New Roman" w:hAnsi="Times New Roman" w:cs="Times New Roman"/>
          <w:sz w:val="24"/>
        </w:rPr>
      </w:pPr>
      <w:r>
        <w:rPr>
          <w:rFonts w:cs="Times New Roman" w:ascii="Times New Roman" w:hAnsi="Times New Roman"/>
          <w:sz w:val="24"/>
        </w:rPr>
      </w:r>
    </w:p>
    <w:p>
      <w:pPr>
        <w:pStyle w:val="Normal"/>
        <w:numPr>
          <w:ilvl w:val="1"/>
          <w:numId w:val="13"/>
        </w:numPr>
        <w:jc w:val="both"/>
        <w:rPr>
          <w:rFonts w:ascii="Times New Roman" w:hAnsi="Times New Roman" w:cs="Times New Roman"/>
          <w:sz w:val="24"/>
        </w:rPr>
      </w:pPr>
      <w:r>
        <w:rPr>
          <w:rFonts w:cs="Times New Roman" w:ascii="Times New Roman" w:hAnsi="Times New Roman"/>
          <w:i/>
          <w:iCs/>
          <w:sz w:val="24"/>
          <w:u w:val="single"/>
        </w:rPr>
        <w:t>City of San Francisco</w:t>
      </w:r>
      <w:r>
        <w:rPr>
          <w:rFonts w:cs="Times New Roman" w:ascii="Times New Roman" w:hAnsi="Times New Roman"/>
          <w:i/>
          <w:iCs/>
          <w:sz w:val="24"/>
        </w:rPr>
        <w:t xml:space="preserve"> </w:t>
      </w:r>
      <w:r>
        <w:rPr>
          <w:rFonts w:cs="Times New Roman" w:ascii="Times New Roman" w:hAnsi="Times New Roman"/>
          <w:sz w:val="24"/>
        </w:rPr>
        <w:t>was filed in San Francisco on behalf of the City of San Francisco and all its rate payers.</w:t>
      </w:r>
    </w:p>
    <w:p>
      <w:pPr>
        <w:pStyle w:val="Normal"/>
        <w:numPr>
          <w:ilvl w:val="1"/>
          <w:numId w:val="13"/>
        </w:numPr>
        <w:jc w:val="both"/>
        <w:rPr>
          <w:rFonts w:ascii="Times New Roman" w:hAnsi="Times New Roman" w:cs="Times New Roman"/>
          <w:sz w:val="24"/>
        </w:rPr>
      </w:pPr>
      <w:r>
        <w:rPr>
          <w:rFonts w:cs="Times New Roman" w:ascii="Times New Roman" w:hAnsi="Times New Roman"/>
          <w:i/>
          <w:iCs/>
          <w:sz w:val="24"/>
          <w:u w:val="single"/>
        </w:rPr>
        <w:t>Sweetwater Authority</w:t>
      </w:r>
      <w:r>
        <w:rPr>
          <w:rFonts w:cs="Times New Roman" w:ascii="Times New Roman" w:hAnsi="Times New Roman"/>
          <w:sz w:val="24"/>
        </w:rPr>
        <w:t xml:space="preserve"> was filed in San Diego by three water districts based in Southern California.</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3"/>
        </w:numPr>
        <w:jc w:val="both"/>
        <w:rPr>
          <w:rFonts w:ascii="Times New Roman" w:hAnsi="Times New Roman" w:cs="Times New Roman"/>
          <w:sz w:val="24"/>
        </w:rPr>
      </w:pPr>
      <w:r>
        <w:rPr>
          <w:rFonts w:cs="Times New Roman" w:ascii="Times New Roman" w:hAnsi="Times New Roman"/>
          <w:i/>
          <w:iCs/>
          <w:sz w:val="24"/>
          <w:u w:val="single"/>
        </w:rPr>
        <w:t>Pier 23 Restaurant</w:t>
      </w:r>
      <w:r>
        <w:rPr>
          <w:rFonts w:cs="Times New Roman" w:ascii="Times New Roman" w:hAnsi="Times New Roman"/>
          <w:sz w:val="24"/>
        </w:rPr>
        <w:t xml:space="preserve"> was filed in San Francisco by retail customers of electricity.</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There are three other cases filed in California against generators and marketers alleging identical causes of action.  Enron has not been named in the cases, but we are coordinating with the Defendants’ counsel in those cases.</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In addition, there are ten cases filed against El Paso and Sempra alleging that they violated the California anti-trust and unfair competition laws by manipulating the gas markets in California.  Again, Enron is not named, but we are monitoring these cases.</w:t>
      </w:r>
    </w:p>
    <w:p>
      <w:pPr>
        <w:pStyle w:val="Normal"/>
        <w:numPr>
          <w:ilvl w:val="0"/>
          <w:numId w:val="27"/>
        </w:numPr>
        <w:jc w:val="both"/>
        <w:rPr>
          <w:rFonts w:ascii="Times New Roman" w:hAnsi="Times New Roman" w:cs="Times New Roman"/>
          <w:bCs/>
          <w:sz w:val="24"/>
        </w:rPr>
      </w:pPr>
      <w:r>
        <w:rPr>
          <w:rFonts w:cs="Times New Roman" w:ascii="Times New Roman" w:hAnsi="Times New Roman"/>
          <w:sz w:val="24"/>
        </w:rPr>
        <w:t>All cases filed in California have been removed to Federal District Court.  This removal stays all discovery.</w:t>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The plaintiffs have filed a motion to remand to State District Court.  Defendants have requested that the motion to remand be stayed until the MDL panel has met.</w:t>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Defendants have requested that the cases be consolidated in one Federal District Court through the Multi-District Litigation process.</w:t>
      </w:r>
    </w:p>
    <w:p>
      <w:pPr>
        <w:pStyle w:val="Normal"/>
        <w:numPr>
          <w:ilvl w:val="0"/>
          <w:numId w:val="27"/>
        </w:numPr>
        <w:jc w:val="both"/>
        <w:rPr>
          <w:rFonts w:ascii="Times New Roman" w:hAnsi="Times New Roman" w:cs="Times New Roman"/>
          <w:bCs/>
          <w:sz w:val="24"/>
        </w:rPr>
      </w:pPr>
      <w:r>
        <w:rPr>
          <w:rFonts w:cs="Times New Roman" w:ascii="Times New Roman" w:hAnsi="Times New Roman"/>
          <w:bCs/>
          <w:sz w:val="24"/>
        </w:rPr>
        <w:t>Defendants have requested that the Plaintiff’s motion to remand be stayed until the Multi-Litigation process has concluded.  The MDL panel will hear the request on May 31, 2001.</w:t>
      </w:r>
    </w:p>
    <w:p>
      <w:pPr>
        <w:pStyle w:val="Heading6"/>
        <w:ind w:hanging="0" w:start="0"/>
        <w:rPr>
          <w:rFonts w:ascii="Times New Roman" w:hAnsi="Times New Roman" w:cs="Times New Roman"/>
          <w:bCs/>
          <w:sz w:val="24"/>
          <w:u w:val="single"/>
        </w:rPr>
      </w:pPr>
      <w:r>
        <w:rPr>
          <w:rFonts w:cs="Times New Roman" w:ascii="Times New Roman" w:hAnsi="Times New Roman"/>
          <w:bCs/>
          <w:sz w:val="24"/>
          <w:u w:val="single"/>
        </w:rPr>
      </w:r>
    </w:p>
    <w:p>
      <w:pPr>
        <w:pStyle w:val="Heading6"/>
        <w:ind w:hanging="0" w:start="0"/>
        <w:rPr>
          <w:rFonts w:ascii="Times New Roman" w:hAnsi="Times New Roman" w:cs="Times New Roman"/>
          <w:b/>
          <w:bCs/>
          <w:sz w:val="24"/>
          <w:u w:val="single"/>
        </w:rPr>
      </w:pPr>
      <w:r>
        <w:rPr>
          <w:rFonts w:cs="Times New Roman" w:ascii="Times New Roman" w:hAnsi="Times New Roman"/>
          <w:b/>
          <w:bCs/>
          <w:sz w:val="24"/>
          <w:u w:val="single"/>
        </w:rPr>
        <w:t>Nakonthai Strip Mill (NSM) Thailand</w:t>
      </w:r>
    </w:p>
    <w:p>
      <w:pPr>
        <w:pStyle w:val="Subject"/>
        <w:tabs>
          <w:tab w:val="clear" w:pos="720"/>
          <w:tab w:val="left" w:pos="540" w:leader="none"/>
        </w:tabs>
        <w:rPr>
          <w:rFonts w:ascii="Times New Roman" w:hAnsi="Times New Roman" w:cs="Times New Roman"/>
          <w:sz w:val="24"/>
        </w:rPr>
      </w:pPr>
      <w:r>
        <w:rPr>
          <w:rFonts w:cs="Times New Roman" w:ascii="Times New Roman" w:hAnsi="Times New Roman"/>
          <w:sz w:val="24"/>
        </w:rPr>
        <w:t>(Los Angeles State Court) (Millbank, Tweed)</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ECT Securities was an underwriter for approximately $25 million of the bonds and may have liability for any misrepresentations contained in the offering memorandum.</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Several lawsuits have been filed against our co-underwriters claiming alleged misrepresentations in the offering memorandum.  The lawsuits are pending in Minneapolis, New Jersey, Chicago and Los Angeles.</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ECT Securities has been sued by Farrollan and Legg Mason in Los Angeles State District Court.</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Extensive discovery has been conducted to date.  Enron employees’ depositions were taken on February 22, 2001.  Trial is set on July 30, 2001.</w:t>
      </w:r>
    </w:p>
    <w:p>
      <w:pPr>
        <w:pStyle w:val="Normal"/>
        <w:numPr>
          <w:ilvl w:val="0"/>
          <w:numId w:val="28"/>
        </w:numPr>
        <w:jc w:val="both"/>
        <w:rPr>
          <w:rFonts w:ascii="Times New Roman" w:hAnsi="Times New Roman" w:cs="Times New Roman"/>
          <w:b/>
          <w:bCs/>
          <w:sz w:val="24"/>
        </w:rPr>
      </w:pPr>
      <w:r>
        <w:rPr>
          <w:rFonts w:cs="Times New Roman" w:ascii="Times New Roman" w:hAnsi="Times New Roman"/>
          <w:b/>
          <w:bCs/>
          <w:sz w:val="24"/>
        </w:rPr>
        <w:t>Bill Price of Quinn Emanuel has been hired as co-counsel.</w:t>
      </w:r>
    </w:p>
    <w:p>
      <w:pPr>
        <w:pStyle w:val="Heading1"/>
        <w:rPr>
          <w:rFonts w:ascii="Times New Roman" w:hAnsi="Times New Roman" w:cs="Times New Roman"/>
          <w:b w:val="false"/>
          <w:bCs/>
          <w:sz w:val="24"/>
        </w:rPr>
      </w:pPr>
      <w:r>
        <w:rPr>
          <w:rFonts w:cs="Times New Roman"/>
          <w:b w:val="false"/>
          <w:bCs/>
          <w:sz w:val="24"/>
        </w:rPr>
      </w:r>
    </w:p>
    <w:p>
      <w:pPr>
        <w:pStyle w:val="Heading6"/>
        <w:ind w:hanging="0" w:start="0"/>
        <w:rPr>
          <w:rFonts w:ascii="Times New Roman" w:hAnsi="Times New Roman" w:cs="Times New Roman"/>
          <w:b/>
          <w:bCs/>
          <w:sz w:val="24"/>
          <w:u w:val="single"/>
        </w:rPr>
      </w:pPr>
      <w:r>
        <w:rPr>
          <w:rFonts w:cs="Times New Roman" w:ascii="Times New Roman" w:hAnsi="Times New Roman"/>
          <w:b/>
          <w:bCs/>
          <w:sz w:val="24"/>
          <w:u w:val="single"/>
        </w:rPr>
        <w:t>Quinque Case</w:t>
      </w:r>
    </w:p>
    <w:p>
      <w:pPr>
        <w:pStyle w:val="Footer"/>
        <w:tabs>
          <w:tab w:val="clear" w:pos="4320"/>
          <w:tab w:val="clear" w:pos="8640"/>
          <w:tab w:val="left" w:pos="540" w:leader="none"/>
        </w:tabs>
        <w:rPr>
          <w:rFonts w:ascii="Times New Roman" w:hAnsi="Times New Roman" w:cs="Times New Roman"/>
          <w:sz w:val="24"/>
        </w:rPr>
      </w:pPr>
      <w:r>
        <w:rPr>
          <w:rFonts w:cs="Times New Roman" w:ascii="Times New Roman" w:hAnsi="Times New Roman"/>
          <w:sz w:val="24"/>
        </w:rPr>
        <w:t>(Kansas State District Court) (Gibbs &amp; Bruns) (Vinson &amp; Elkins)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This is a national class action filed in State District Court in Kansas on behalf of all gas producers and royalty interest owners alleging fraudulent practices in the measurement of gas.</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Enron removed the case to the Federal District Court of Kansas City alleging Federal Question jurisdiction.</w:t>
      </w:r>
    </w:p>
    <w:p>
      <w:pPr>
        <w:pStyle w:val="Normal"/>
        <w:numPr>
          <w:ilvl w:val="0"/>
          <w:numId w:val="28"/>
        </w:numPr>
        <w:jc w:val="both"/>
        <w:rPr>
          <w:rFonts w:ascii="Times New Roman" w:hAnsi="Times New Roman" w:cs="Times New Roman"/>
          <w:b/>
          <w:bCs/>
          <w:sz w:val="24"/>
        </w:rPr>
      </w:pPr>
      <w:r>
        <w:rPr>
          <w:rFonts w:cs="Times New Roman" w:ascii="Times New Roman" w:hAnsi="Times New Roman"/>
          <w:sz w:val="24"/>
        </w:rPr>
        <w:t>Plaintiffs filed a motion to remand to State District Court.  On January 10</w:t>
      </w:r>
      <w:r>
        <w:rPr>
          <w:rFonts w:cs="Times New Roman" w:ascii="Times New Roman" w:hAnsi="Times New Roman"/>
          <w:sz w:val="24"/>
          <w:vertAlign w:val="superscript"/>
        </w:rPr>
        <w:t>th</w:t>
      </w:r>
      <w:r>
        <w:rPr>
          <w:rFonts w:cs="Times New Roman" w:ascii="Times New Roman" w:hAnsi="Times New Roman"/>
          <w:sz w:val="24"/>
        </w:rPr>
        <w:t xml:space="preserve"> the Federal District Court granted Plaintiff’s motion to remand and sent the case back to the State District Court.  </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Plaintiffs have requested remand costs of $248,000.00 be assessed against Enron.</w:t>
      </w:r>
    </w:p>
    <w:p>
      <w:pPr>
        <w:pStyle w:val="Normal"/>
        <w:numPr>
          <w:ilvl w:val="0"/>
          <w:numId w:val="28"/>
        </w:numPr>
        <w:jc w:val="both"/>
        <w:rPr>
          <w:rFonts w:ascii="Times New Roman" w:hAnsi="Times New Roman" w:cs="Times New Roman"/>
          <w:sz w:val="24"/>
        </w:rPr>
      </w:pPr>
      <w:r>
        <w:rPr>
          <w:rFonts w:cs="Times New Roman" w:ascii="Times New Roman" w:hAnsi="Times New Roman"/>
          <w:sz w:val="24"/>
        </w:rPr>
        <w:t>On April 11, the Court conducted an initial conference and set certain deadlines for the Defendants to file objections to the jurisdiction.</w:t>
      </w:r>
      <w:r>
        <w:br w:type="page"/>
      </w:r>
    </w:p>
    <w:p>
      <w:pPr>
        <w:pStyle w:val="Normal"/>
        <w:rPr>
          <w:rFonts w:ascii="Times New Roman" w:hAnsi="Times New Roman" w:cs="Times New Roman"/>
          <w:sz w:val="24"/>
        </w:rPr>
      </w:pPr>
      <w:r>
        <w:rPr>
          <w:rFonts w:cs="Times New Roman" w:ascii="Times New Roman" w:hAnsi="Times New Roman"/>
          <w:sz w:val="24"/>
        </w:rPr>
      </w:r>
    </w:p>
    <w:p>
      <w:pPr>
        <w:pStyle w:val="Heading1"/>
        <w:tabs>
          <w:tab w:val="clear" w:pos="720"/>
          <w:tab w:val="left" w:pos="5106" w:leader="none"/>
          <w:tab w:val="left" w:pos="7254" w:leader="none"/>
        </w:tabs>
        <w:ind w:start="0" w:end="0"/>
        <w:rPr>
          <w:i/>
          <w:i/>
          <w:iCs/>
          <w:sz w:val="24"/>
        </w:rPr>
      </w:pPr>
      <w:r>
        <w:rPr>
          <w:i/>
          <w:iCs/>
          <w:sz w:val="24"/>
        </w:rPr>
        <w:t>Wright v. Enron Corporation</w:t>
      </w:r>
    </w:p>
    <w:p>
      <w:pPr>
        <w:pStyle w:val="Normal"/>
        <w:jc w:val="both"/>
        <w:rPr>
          <w:rFonts w:ascii="Times New Roman" w:hAnsi="Times New Roman" w:cs="Times New Roman"/>
          <w:sz w:val="24"/>
        </w:rPr>
      </w:pPr>
      <w:r>
        <w:rPr>
          <w:rFonts w:cs="Times New Roman" w:ascii="Times New Roman" w:hAnsi="Times New Roman"/>
          <w:sz w:val="24"/>
        </w:rPr>
        <w:t>(Gibbs &amp; Bruns/Vinson &amp; Elkins)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Qui tam case alleging that all marketing affiliates, including ECT, were created to defraud the federal government of royalty obligations.</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 xml:space="preserve">This case has been moved to the same judge presiding in </w:t>
      </w:r>
      <w:r>
        <w:rPr>
          <w:rFonts w:cs="Times New Roman" w:ascii="Times New Roman" w:hAnsi="Times New Roman"/>
          <w:sz w:val="24"/>
          <w:u w:val="single"/>
        </w:rPr>
        <w:t>Grynberg</w:t>
      </w:r>
      <w:r>
        <w:rPr>
          <w:rFonts w:cs="Times New Roman" w:ascii="Times New Roman" w:hAnsi="Times New Roman"/>
          <w:sz w:val="24"/>
        </w:rPr>
        <w:t xml:space="preserve"> case in Wyoming.</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The Department of Justice has not decided whether to intervene in case against Enron.  The DOJ has intervened as to other defendants.</w:t>
      </w:r>
    </w:p>
    <w:p>
      <w:pPr>
        <w:pStyle w:val="Body"/>
        <w:ind w:start="0" w:end="0"/>
        <w:rPr>
          <w:rFonts w:ascii="Times New Roman" w:hAnsi="Times New Roman" w:cs="Times New Roman"/>
          <w:b/>
          <w:sz w:val="24"/>
        </w:rPr>
      </w:pPr>
      <w:r>
        <w:rPr>
          <w:rFonts w:cs="Times New Roman" w:ascii="Times New Roman" w:hAnsi="Times New Roman"/>
          <w:b/>
          <w:sz w:val="24"/>
        </w:rPr>
      </w:r>
    </w:p>
    <w:p>
      <w:pPr>
        <w:pStyle w:val="Heading1"/>
        <w:tabs>
          <w:tab w:val="clear" w:pos="720"/>
          <w:tab w:val="left" w:pos="5106" w:leader="none"/>
          <w:tab w:val="left" w:pos="7254" w:leader="none"/>
        </w:tabs>
        <w:ind w:start="0" w:end="0"/>
        <w:rPr>
          <w:i/>
          <w:i/>
          <w:iCs/>
          <w:sz w:val="24"/>
          <w:u w:val="none"/>
        </w:rPr>
      </w:pPr>
      <w:r>
        <w:rPr>
          <w:sz w:val="24"/>
        </w:rPr>
        <w:t>Garden State Paper Personal Injury Cases</w:t>
      </w:r>
    </w:p>
    <w:p>
      <w:pPr>
        <w:pStyle w:val="Normal"/>
        <w:rPr>
          <w:rFonts w:ascii="Times New Roman" w:hAnsi="Times New Roman" w:cs="Times New Roman"/>
          <w:i/>
          <w:i/>
          <w:iCs/>
          <w:sz w:val="24"/>
          <w:u w:val="none"/>
        </w:rPr>
      </w:pPr>
      <w:r>
        <w:rPr>
          <w:rFonts w:cs="Times New Roman" w:ascii="Times New Roman" w:hAnsi="Times New Roman"/>
          <w:i/>
          <w:iCs/>
          <w:sz w:val="24"/>
          <w:u w:val="none"/>
        </w:rPr>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In the last few months, Garden State Paper (“GSP”) has faced three serious personal injury cases.</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The Carlos Gines matter:  Mr. Gines was an employee of Sistec, a contractor at GSP hired to perform various maintenance duties.  Mr. Gines was trying to move some equipment when a 4,000 pound blade assembly fell on his upper thigh almost severing his leg.  Medical expenses are expected to approach $400,000.00.  Mr. Gines has hired counsel, but no lawsuit has been filed.</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The Philip Buffalo matter:  Mr. Buffalo was an employee of Penske, another contractor at GSP.  Mr. Buffalo was hit by a forklift operated by a GSP employee, resulting in serious leg and thigh injuries.  Mr. Buffalo has retained counsel, but no lawsuit has been filed.  OSHA has leveled a fine and serious citation against GSP for its employee’s actions.</w:t>
      </w:r>
    </w:p>
    <w:p>
      <w:pPr>
        <w:pStyle w:val="Normal"/>
        <w:numPr>
          <w:ilvl w:val="0"/>
          <w:numId w:val="27"/>
        </w:numPr>
        <w:jc w:val="both"/>
        <w:rPr>
          <w:rFonts w:ascii="Times New Roman" w:hAnsi="Times New Roman" w:cs="Times New Roman"/>
          <w:b/>
          <w:bCs/>
          <w:sz w:val="24"/>
        </w:rPr>
      </w:pPr>
      <w:r>
        <w:rPr>
          <w:rFonts w:cs="Times New Roman" w:ascii="Times New Roman" w:hAnsi="Times New Roman"/>
          <w:sz w:val="24"/>
        </w:rPr>
        <w:t>The Julio DeLeon matter:  Mr. DeLeon, an employee of New Jersey Wire (another subcontractor), sustained head injuries while attempting to remove heavy wire rolls from a</w:t>
      </w:r>
      <w:r>
        <w:rPr>
          <w:rFonts w:cs="Times New Roman" w:ascii="Times New Roman" w:hAnsi="Times New Roman"/>
          <w:b/>
          <w:bCs/>
          <w:sz w:val="24"/>
        </w:rPr>
        <w:t xml:space="preserve"> wire rack.  As of this date, we do not believe Mr. DeLeon has hired counsel.</w:t>
      </w:r>
    </w:p>
    <w:p>
      <w:pPr>
        <w:pStyle w:val="Heading1"/>
        <w:rPr>
          <w:rFonts w:ascii="Times New Roman" w:hAnsi="Times New Roman" w:cs="Times New Roman"/>
          <w:b w:val="false"/>
          <w:bCs/>
          <w:sz w:val="24"/>
        </w:rPr>
      </w:pPr>
      <w:r>
        <w:rPr>
          <w:rFonts w:cs="Times New Roman"/>
          <w:b w:val="false"/>
          <w:bCs/>
          <w:sz w:val="24"/>
        </w:rPr>
      </w:r>
    </w:p>
    <w:p>
      <w:pPr>
        <w:pStyle w:val="Heading1"/>
        <w:tabs>
          <w:tab w:val="clear" w:pos="720"/>
          <w:tab w:val="left" w:pos="5106" w:leader="none"/>
          <w:tab w:val="left" w:pos="7254" w:leader="none"/>
        </w:tabs>
        <w:ind w:start="0" w:end="0"/>
        <w:rPr>
          <w:i/>
          <w:i/>
          <w:iCs/>
          <w:sz w:val="24"/>
        </w:rPr>
      </w:pPr>
      <w:r>
        <w:rPr>
          <w:i/>
          <w:iCs/>
          <w:sz w:val="24"/>
        </w:rPr>
        <w:t>John Schultes v. Enron North America Corp. and ECT Thailand Investments, Inc.</w:t>
      </w:r>
    </w:p>
    <w:p>
      <w:pPr>
        <w:pStyle w:val="Normal"/>
        <w:jc w:val="both"/>
        <w:rPr>
          <w:rFonts w:ascii="Times New Roman" w:hAnsi="Times New Roman" w:cs="Times New Roman"/>
          <w:sz w:val="24"/>
        </w:rPr>
      </w:pPr>
      <w:r>
        <w:rPr>
          <w:rFonts w:cs="Times New Roman" w:ascii="Times New Roman" w:hAnsi="Times New Roman"/>
          <w:sz w:val="24"/>
        </w:rPr>
        <w:t>(Cleveland Ohio State District Court)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John Schultes is the former president of NSM.  His 8 year employment agreement was terminated by NSM Management Co., of which ECT Thailand Investments Inc. was a member.</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Schultes has sued ENA and ECT Thailand Investments for breach of contract, tortuous interference, fraud, defamation and negligent misrepresentation as a result of their involvement in Schultes’ termination.</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Enron’s answer date is May 25th.</w:t>
      </w:r>
    </w:p>
    <w:p>
      <w:pPr>
        <w:pStyle w:val="Normal"/>
        <w:jc w:val="both"/>
        <w:rPr>
          <w:rFonts w:ascii="Times New Roman" w:hAnsi="Times New Roman" w:cs="Times New Roman"/>
          <w:sz w:val="24"/>
        </w:rPr>
      </w:pPr>
      <w:r>
        <w:rPr>
          <w:rFonts w:cs="Times New Roman" w:ascii="Times New Roman" w:hAnsi="Times New Roman"/>
          <w:sz w:val="24"/>
        </w:rPr>
      </w:r>
    </w:p>
    <w:p>
      <w:pPr>
        <w:pStyle w:val="Heading1"/>
        <w:tabs>
          <w:tab w:val="clear" w:pos="720"/>
          <w:tab w:val="left" w:pos="5106" w:leader="none"/>
          <w:tab w:val="left" w:pos="7254" w:leader="none"/>
        </w:tabs>
        <w:ind w:start="0" w:end="0"/>
        <w:rPr>
          <w:i/>
          <w:i/>
          <w:iCs/>
          <w:sz w:val="24"/>
          <w:u w:val="none"/>
        </w:rPr>
      </w:pPr>
      <w:r>
        <w:rPr>
          <w:i/>
          <w:iCs/>
          <w:sz w:val="24"/>
        </w:rPr>
        <w:t>Michigan Power Limited Partnership/Consumer Energy</w:t>
      </w:r>
    </w:p>
    <w:p>
      <w:pPr>
        <w:pStyle w:val="Normal"/>
        <w:tabs>
          <w:tab w:val="left" w:pos="720" w:leader="none"/>
          <w:tab w:val="left" w:pos="1080" w:leader="none"/>
        </w:tabs>
        <w:ind w:hanging="1080" w:start="1080" w:end="0"/>
        <w:jc w:val="both"/>
        <w:rPr>
          <w:rFonts w:ascii="Times New Roman" w:hAnsi="Times New Roman" w:cs="Times New Roman"/>
          <w:sz w:val="24"/>
        </w:rPr>
      </w:pPr>
      <w:r>
        <w:rPr>
          <w:rFonts w:cs="Times New Roman" w:ascii="Times New Roman" w:hAnsi="Times New Roman"/>
          <w:sz w:val="24"/>
        </w:rPr>
        <w:t xml:space="preserve">(No Pending Litigation) </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Enron and Dynegy are 50 percent owners of the Michigan Power Limited Partnership (“MPLP”).  MPLP went into service on October 1, 1995.</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MPLP provides power to consumers Energy under a PPA that ends September 20, 2030.</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In February 2001, Consumers Energy sent MPLP a letter contending that Consumer Energy overpaid MPLP $16.1 million in capacity charges from 1996 through 2000.  Enron would be responsible for half of this amount.</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Capacity rates under the PPA are to be increased annually.  The key question is whether the capacity rate increase should take place on January 1 (calendar year) or October 1 (the anniversary of the commercial operation date of the facility).</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Consumers Energy self-billed under the PPA and increased capacity rates every January 1 (calendar year).  Now Consumers Energy contends that increase was in error and that the PPA requires the capacity rate to increase every October 1.</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Representatives of MCN (the predecessor to Enron) have indicated in recent interviews that the January 1 capacity rate increases were not expected by MPLP.  Consumers Energy’s position has some merit.  MCN expected the capacity rate to increase in October and was “quite surprised” when the capacity rate increased on January 1, 1996.</w:t>
      </w:r>
    </w:p>
    <w:p>
      <w:pPr>
        <w:pStyle w:val="Normal"/>
        <w:numPr>
          <w:ilvl w:val="0"/>
          <w:numId w:val="27"/>
        </w:numPr>
        <w:jc w:val="both"/>
        <w:rPr>
          <w:rFonts w:ascii="Times New Roman" w:hAnsi="Times New Roman" w:cs="Times New Roman"/>
          <w:sz w:val="24"/>
        </w:rPr>
      </w:pPr>
      <w:r>
        <w:rPr>
          <w:rFonts w:cs="Times New Roman" w:ascii="Times New Roman" w:hAnsi="Times New Roman"/>
          <w:sz w:val="24"/>
        </w:rPr>
        <w:t xml:space="preserve">Arbitration has been threatened, but has not been commenced. </w:t>
      </w:r>
    </w:p>
    <w:p>
      <w:pPr>
        <w:pStyle w:val="Heading7"/>
        <w:ind w:hanging="0" w:start="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Heading"/>
        <w:rPr>
          <w:rFonts w:ascii="Times New Roman" w:hAnsi="Times New Roman" w:cs="Times New Roman"/>
          <w:u w:val="single"/>
        </w:rPr>
      </w:pPr>
      <w:r>
        <w:rPr>
          <w:rFonts w:cs="Times New Roman" w:ascii="Times New Roman" w:hAnsi="Times New Roman"/>
          <w:u w:val="single"/>
        </w:rPr>
        <w:t>Enron Industrial Markets LLC</w:t>
      </w:r>
    </w:p>
    <w:p>
      <w:pPr>
        <w:pStyle w:val="Normal"/>
        <w:rPr>
          <w:rFonts w:ascii="Times New Roman" w:hAnsi="Times New Roman" w:cs="Times New Roman"/>
          <w:sz w:val="24"/>
          <w:u w:val="single"/>
        </w:rPr>
      </w:pPr>
      <w:r>
        <w:rPr>
          <w:rFonts w:cs="Times New Roman" w:ascii="Times New Roman" w:hAnsi="Times New Roman"/>
          <w:sz w:val="24"/>
          <w:u w:val="single"/>
        </w:rPr>
      </w:r>
    </w:p>
    <w:p>
      <w:pPr>
        <w:pStyle w:val="Heading1"/>
        <w:rPr>
          <w:sz w:val="24"/>
        </w:rPr>
      </w:pPr>
      <w:r>
        <w:rPr>
          <w:b w:val="false"/>
          <w:bCs/>
          <w:sz w:val="24"/>
        </w:rPr>
        <w:t>Organization</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21"/>
        </w:numPr>
        <w:rPr>
          <w:rFonts w:ascii="Times New Roman" w:hAnsi="Times New Roman" w:cs="Times New Roman"/>
          <w:sz w:val="24"/>
        </w:rPr>
      </w:pPr>
      <w:r>
        <w:rPr>
          <w:rFonts w:cs="Times New Roman" w:ascii="Times New Roman" w:hAnsi="Times New Roman"/>
          <w:sz w:val="24"/>
        </w:rPr>
        <w:t>Organization of Trading/Operations structures and infrastructure (ENA, EIM) [Julia Murray]</w:t>
      </w:r>
    </w:p>
    <w:p>
      <w:pPr>
        <w:pStyle w:val="Normal"/>
        <w:numPr>
          <w:ilvl w:val="0"/>
          <w:numId w:val="21"/>
        </w:numPr>
        <w:rPr>
          <w:rFonts w:ascii="Times New Roman" w:hAnsi="Times New Roman" w:cs="Times New Roman"/>
          <w:sz w:val="24"/>
        </w:rPr>
      </w:pPr>
      <w:r>
        <w:rPr>
          <w:rFonts w:cs="Times New Roman" w:ascii="Times New Roman" w:hAnsi="Times New Roman"/>
          <w:sz w:val="24"/>
        </w:rPr>
        <w:t>Cross-Functional Support for EIM Business (Logistics, Legal, Tax, Accounting) [Julia Murray]</w:t>
      </w:r>
    </w:p>
    <w:p>
      <w:pPr>
        <w:pStyle w:val="Normal"/>
        <w:numPr>
          <w:ilvl w:val="0"/>
          <w:numId w:val="21"/>
        </w:numPr>
        <w:rPr>
          <w:rFonts w:ascii="Times New Roman" w:hAnsi="Times New Roman" w:cs="Times New Roman"/>
          <w:sz w:val="24"/>
        </w:rPr>
      </w:pPr>
      <w:r>
        <w:rPr>
          <w:rFonts w:cs="Times New Roman" w:ascii="Times New Roman" w:hAnsi="Times New Roman"/>
          <w:sz w:val="24"/>
        </w:rPr>
        <w:t>Financings [Julia Murray, Dan Lyons]</w:t>
      </w:r>
    </w:p>
    <w:p>
      <w:pPr>
        <w:pStyle w:val="Normal"/>
        <w:numPr>
          <w:ilvl w:val="1"/>
          <w:numId w:val="21"/>
        </w:numPr>
        <w:rPr>
          <w:rFonts w:ascii="Times New Roman" w:hAnsi="Times New Roman" w:cs="Times New Roman"/>
          <w:sz w:val="24"/>
        </w:rPr>
      </w:pPr>
      <w:r>
        <w:rPr>
          <w:rFonts w:cs="Times New Roman" w:ascii="Times New Roman" w:hAnsi="Times New Roman"/>
          <w:sz w:val="24"/>
        </w:rPr>
        <w:t>Crane financing</w:t>
      </w:r>
    </w:p>
    <w:p>
      <w:pPr>
        <w:pStyle w:val="Normal"/>
        <w:numPr>
          <w:ilvl w:val="1"/>
          <w:numId w:val="21"/>
        </w:numPr>
        <w:rPr>
          <w:rFonts w:ascii="Times New Roman" w:hAnsi="Times New Roman" w:cs="Times New Roman"/>
          <w:sz w:val="24"/>
        </w:rPr>
      </w:pPr>
      <w:r>
        <w:rPr>
          <w:rFonts w:cs="Times New Roman" w:ascii="Times New Roman" w:hAnsi="Times New Roman"/>
          <w:sz w:val="24"/>
        </w:rPr>
        <w:t>Inventory Fund</w:t>
      </w:r>
    </w:p>
    <w:p>
      <w:pPr>
        <w:pStyle w:val="Normal"/>
        <w:numPr>
          <w:ilvl w:val="1"/>
          <w:numId w:val="21"/>
        </w:numPr>
        <w:rPr>
          <w:rFonts w:ascii="Times New Roman" w:hAnsi="Times New Roman" w:cs="Times New Roman"/>
          <w:sz w:val="24"/>
        </w:rPr>
      </w:pPr>
      <w:r>
        <w:rPr>
          <w:rFonts w:cs="Times New Roman" w:ascii="Times New Roman" w:hAnsi="Times New Roman"/>
          <w:sz w:val="24"/>
        </w:rPr>
        <w:t>Sundance – deconsolidation vehicle</w:t>
      </w:r>
    </w:p>
    <w:p>
      <w:pPr>
        <w:pStyle w:val="Heading1"/>
        <w:rPr>
          <w:rFonts w:ascii="Times New Roman" w:hAnsi="Times New Roman" w:cs="Times New Roman"/>
          <w:b w:val="false"/>
          <w:bCs/>
          <w:sz w:val="24"/>
        </w:rPr>
      </w:pPr>
      <w:r>
        <w:rPr>
          <w:rFonts w:cs="Times New Roman"/>
          <w:b w:val="false"/>
          <w:bCs/>
          <w:sz w:val="24"/>
        </w:rPr>
      </w:r>
    </w:p>
    <w:p>
      <w:pPr>
        <w:pStyle w:val="Heading1"/>
        <w:rPr>
          <w:b w:val="false"/>
          <w:bCs/>
          <w:sz w:val="24"/>
        </w:rPr>
      </w:pPr>
      <w:r>
        <w:rPr>
          <w:b w:val="false"/>
          <w:bCs/>
          <w:sz w:val="24"/>
        </w:rPr>
        <w:t>Pulp &amp; Paper</w:t>
      </w:r>
    </w:p>
    <w:p>
      <w:pPr>
        <w:pStyle w:val="Normal"/>
        <w:rPr>
          <w:rFonts w:ascii="Times New Roman" w:hAnsi="Times New Roman" w:cs="Times New Roman"/>
          <w:b/>
          <w:bCs/>
          <w:sz w:val="24"/>
        </w:rPr>
      </w:pPr>
      <w:r>
        <w:rPr>
          <w:rFonts w:cs="Times New Roman" w:ascii="Times New Roman" w:hAnsi="Times New Roman"/>
          <w:b/>
          <w:bCs/>
          <w:sz w:val="24"/>
        </w:rPr>
      </w:r>
    </w:p>
    <w:p>
      <w:pPr>
        <w:pStyle w:val="Normal"/>
        <w:numPr>
          <w:ilvl w:val="0"/>
          <w:numId w:val="10"/>
        </w:numPr>
        <w:rPr>
          <w:rFonts w:ascii="Times New Roman" w:hAnsi="Times New Roman" w:cs="Times New Roman"/>
          <w:sz w:val="24"/>
        </w:rPr>
      </w:pPr>
      <w:r>
        <w:rPr>
          <w:rFonts w:cs="Times New Roman" w:ascii="Times New Roman" w:hAnsi="Times New Roman"/>
          <w:sz w:val="24"/>
        </w:rPr>
        <w:t>Mergers &amp; Acquisitions/Originations [Peter del Vecchio]</w:t>
      </w:r>
    </w:p>
    <w:p>
      <w:pPr>
        <w:pStyle w:val="Normal"/>
        <w:numPr>
          <w:ilvl w:val="1"/>
          <w:numId w:val="10"/>
        </w:numPr>
        <w:rPr>
          <w:rFonts w:ascii="Times New Roman" w:hAnsi="Times New Roman" w:cs="Times New Roman"/>
          <w:sz w:val="24"/>
        </w:rPr>
      </w:pPr>
      <w:r>
        <w:rPr>
          <w:rFonts w:cs="Times New Roman" w:ascii="Times New Roman" w:hAnsi="Times New Roman"/>
          <w:sz w:val="24"/>
        </w:rPr>
        <w:t>Project Crane (Purchase Price $360 MM) – Closed 3/30/01</w:t>
      </w:r>
    </w:p>
    <w:p>
      <w:pPr>
        <w:pStyle w:val="Normal"/>
        <w:numPr>
          <w:ilvl w:val="1"/>
          <w:numId w:val="10"/>
        </w:numPr>
        <w:rPr>
          <w:rFonts w:ascii="Times New Roman" w:hAnsi="Times New Roman" w:cs="Times New Roman"/>
          <w:sz w:val="24"/>
        </w:rPr>
      </w:pPr>
      <w:r>
        <w:rPr>
          <w:rFonts w:cs="Times New Roman" w:ascii="Times New Roman" w:hAnsi="Times New Roman"/>
          <w:sz w:val="24"/>
        </w:rPr>
        <w:t>Papier Masson Ltee. (PML): Sale of Enron 28% equity interest [Peter Keohane]</w:t>
      </w:r>
    </w:p>
    <w:p>
      <w:pPr>
        <w:pStyle w:val="Normal"/>
        <w:numPr>
          <w:ilvl w:val="1"/>
          <w:numId w:val="10"/>
        </w:numPr>
        <w:rPr>
          <w:rFonts w:ascii="Times New Roman" w:hAnsi="Times New Roman" w:cs="Times New Roman"/>
          <w:sz w:val="24"/>
        </w:rPr>
      </w:pPr>
      <w:r>
        <w:rPr>
          <w:rFonts w:cs="Times New Roman" w:ascii="Times New Roman" w:hAnsi="Times New Roman"/>
          <w:sz w:val="24"/>
        </w:rPr>
        <w:t>Georgia Pacific Lumber Inventory Risk Management</w:t>
      </w:r>
    </w:p>
    <w:p>
      <w:pPr>
        <w:pStyle w:val="Normal"/>
        <w:numPr>
          <w:ilvl w:val="1"/>
          <w:numId w:val="10"/>
        </w:numPr>
        <w:rPr>
          <w:rFonts w:ascii="Times New Roman" w:hAnsi="Times New Roman" w:cs="Times New Roman"/>
          <w:sz w:val="24"/>
        </w:rPr>
      </w:pPr>
      <w:r>
        <w:rPr>
          <w:rFonts w:cs="Times New Roman" w:ascii="Times New Roman" w:hAnsi="Times New Roman"/>
          <w:sz w:val="24"/>
        </w:rPr>
        <w:t>Potlach – Greenfield tissue plant structured finance [Stoler]</w:t>
      </w:r>
    </w:p>
    <w:p>
      <w:pPr>
        <w:pStyle w:val="Normal"/>
        <w:numPr>
          <w:ilvl w:val="1"/>
          <w:numId w:val="10"/>
        </w:numPr>
        <w:rPr>
          <w:rFonts w:ascii="Times New Roman" w:hAnsi="Times New Roman" w:cs="Times New Roman"/>
          <w:sz w:val="24"/>
        </w:rPr>
      </w:pPr>
      <w:r>
        <w:rPr>
          <w:rFonts w:cs="Times New Roman" w:ascii="Times New Roman" w:hAnsi="Times New Roman"/>
          <w:sz w:val="24"/>
        </w:rPr>
        <w:t>Smurfit</w:t>
      </w:r>
    </w:p>
    <w:p>
      <w:pPr>
        <w:pStyle w:val="Normal"/>
        <w:numPr>
          <w:ilvl w:val="0"/>
          <w:numId w:val="10"/>
        </w:numPr>
        <w:rPr>
          <w:rFonts w:ascii="Times New Roman" w:hAnsi="Times New Roman" w:cs="Times New Roman"/>
          <w:sz w:val="24"/>
        </w:rPr>
      </w:pPr>
      <w:r>
        <w:rPr>
          <w:rFonts w:cs="Times New Roman" w:ascii="Times New Roman" w:hAnsi="Times New Roman"/>
          <w:sz w:val="24"/>
        </w:rPr>
        <w:t>Garden State Paper [Peter del Vecchio]</w:t>
      </w:r>
    </w:p>
    <w:p>
      <w:pPr>
        <w:pStyle w:val="Normal"/>
        <w:numPr>
          <w:ilvl w:val="1"/>
          <w:numId w:val="10"/>
        </w:numPr>
        <w:rPr>
          <w:rFonts w:ascii="Times New Roman" w:hAnsi="Times New Roman" w:cs="Times New Roman"/>
          <w:sz w:val="24"/>
        </w:rPr>
      </w:pPr>
      <w:r>
        <w:rPr>
          <w:rFonts w:cs="Times New Roman" w:ascii="Times New Roman" w:hAnsi="Times New Roman"/>
          <w:sz w:val="24"/>
        </w:rPr>
        <w:t>Post-closing matters</w:t>
      </w:r>
    </w:p>
    <w:p>
      <w:pPr>
        <w:pStyle w:val="Normal"/>
        <w:numPr>
          <w:ilvl w:val="1"/>
          <w:numId w:val="10"/>
        </w:numPr>
        <w:rPr>
          <w:rFonts w:ascii="Times New Roman" w:hAnsi="Times New Roman" w:cs="Times New Roman"/>
          <w:sz w:val="24"/>
        </w:rPr>
      </w:pPr>
      <w:r>
        <w:rPr>
          <w:rFonts w:cs="Times New Roman" w:ascii="Times New Roman" w:hAnsi="Times New Roman"/>
          <w:sz w:val="24"/>
        </w:rPr>
        <w:t>Operations</w:t>
      </w:r>
    </w:p>
    <w:p>
      <w:pPr>
        <w:pStyle w:val="Normal"/>
        <w:ind w:hanging="360" w:start="720" w:end="0"/>
        <w:rPr>
          <w:rFonts w:ascii="Times New Roman" w:hAnsi="Times New Roman" w:cs="Times New Roman"/>
          <w:sz w:val="24"/>
        </w:rPr>
      </w:pPr>
      <w:r>
        <w:rPr>
          <w:rFonts w:cs="Times New Roman" w:ascii="Times New Roman" w:hAnsi="Times New Roman"/>
          <w:sz w:val="24"/>
        </w:rPr>
        <w:t>3.</w:t>
        <w:tab/>
        <w:t>Physical Trading [Harry Collins]</w:t>
      </w:r>
      <w:r>
        <w:br w:type="page"/>
      </w:r>
    </w:p>
    <w:p>
      <w:pPr>
        <w:pStyle w:val="Normal"/>
        <w:rPr>
          <w:rFonts w:ascii="Times New Roman" w:hAnsi="Times New Roman" w:cs="Times New Roman"/>
          <w:sz w:val="24"/>
        </w:rPr>
      </w:pPr>
      <w:r>
        <w:rPr>
          <w:rFonts w:cs="Times New Roman" w:ascii="Times New Roman" w:hAnsi="Times New Roman"/>
          <w:sz w:val="24"/>
        </w:rPr>
      </w:r>
    </w:p>
    <w:p>
      <w:pPr>
        <w:pStyle w:val="Heading2"/>
        <w:rPr>
          <w:sz w:val="24"/>
        </w:rPr>
      </w:pPr>
      <w:r>
        <w:rPr>
          <w:sz w:val="24"/>
        </w:rPr>
        <w:t>Steel</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20"/>
        </w:numPr>
        <w:rPr>
          <w:rFonts w:ascii="Times New Roman" w:hAnsi="Times New Roman" w:cs="Times New Roman"/>
          <w:sz w:val="24"/>
        </w:rPr>
      </w:pPr>
      <w:r>
        <w:rPr>
          <w:rFonts w:cs="Times New Roman" w:ascii="Times New Roman" w:hAnsi="Times New Roman"/>
          <w:sz w:val="24"/>
        </w:rPr>
        <w:t>Origination</w:t>
      </w:r>
    </w:p>
    <w:p>
      <w:pPr>
        <w:pStyle w:val="BodyTextIndent"/>
        <w:numPr>
          <w:ilvl w:val="2"/>
          <w:numId w:val="10"/>
        </w:numPr>
        <w:ind w:hanging="360" w:start="1440" w:end="0"/>
        <w:rPr>
          <w:sz w:val="24"/>
        </w:rPr>
      </w:pPr>
      <w:r>
        <w:rPr>
          <w:sz w:val="24"/>
        </w:rPr>
        <w:t>Webco [Dan Lyons] ($19 MM Inventory financing) - Closed</w:t>
      </w:r>
    </w:p>
    <w:p>
      <w:pPr>
        <w:pStyle w:val="BodyTextIndent"/>
        <w:numPr>
          <w:ilvl w:val="2"/>
          <w:numId w:val="10"/>
        </w:numPr>
        <w:ind w:hanging="360" w:start="1440" w:end="0"/>
        <w:rPr>
          <w:sz w:val="24"/>
        </w:rPr>
      </w:pPr>
      <w:r>
        <w:rPr>
          <w:sz w:val="24"/>
        </w:rPr>
        <w:t>Huntco [Lou Stoler] – Initial Closing</w:t>
      </w:r>
    </w:p>
    <w:p>
      <w:pPr>
        <w:pStyle w:val="BodyTextIndent"/>
        <w:numPr>
          <w:ilvl w:val="2"/>
          <w:numId w:val="10"/>
        </w:numPr>
        <w:ind w:hanging="360" w:start="1440" w:end="0"/>
        <w:rPr>
          <w:sz w:val="24"/>
        </w:rPr>
      </w:pPr>
      <w:r>
        <w:rPr>
          <w:sz w:val="24"/>
        </w:rPr>
        <w:t>Olympia [Dan Lyons]</w:t>
      </w:r>
    </w:p>
    <w:p>
      <w:pPr>
        <w:pStyle w:val="Normal"/>
        <w:numPr>
          <w:ilvl w:val="0"/>
          <w:numId w:val="20"/>
        </w:numPr>
        <w:rPr>
          <w:rFonts w:ascii="Times New Roman" w:hAnsi="Times New Roman" w:cs="Times New Roman"/>
          <w:sz w:val="24"/>
        </w:rPr>
      </w:pPr>
      <w:r>
        <w:rPr>
          <w:rFonts w:cs="Times New Roman" w:ascii="Times New Roman" w:hAnsi="Times New Roman"/>
          <w:sz w:val="24"/>
        </w:rPr>
        <w:t>Physical Trading [Harry Collins]</w:t>
      </w:r>
    </w:p>
    <w:p>
      <w:pPr>
        <w:pStyle w:val="Normal"/>
        <w:numPr>
          <w:ilvl w:val="0"/>
          <w:numId w:val="20"/>
        </w:numPr>
        <w:rPr>
          <w:rFonts w:ascii="Times New Roman" w:hAnsi="Times New Roman" w:cs="Times New Roman"/>
          <w:sz w:val="24"/>
        </w:rPr>
      </w:pPr>
      <w:r>
        <w:rPr>
          <w:rFonts w:cs="Times New Roman" w:ascii="Times New Roman" w:hAnsi="Times New Roman"/>
          <w:sz w:val="24"/>
        </w:rPr>
        <w:t>Developing Inventory Risk Management Structures for all commodities</w:t>
      </w:r>
    </w:p>
    <w:p>
      <w:pPr>
        <w:pStyle w:val="Normal"/>
        <w:numPr>
          <w:ilvl w:val="0"/>
          <w:numId w:val="20"/>
        </w:numPr>
        <w:rPr>
          <w:rFonts w:ascii="Times New Roman" w:hAnsi="Times New Roman" w:cs="Times New Roman"/>
          <w:sz w:val="24"/>
        </w:rPr>
      </w:pPr>
      <w:r>
        <w:rPr>
          <w:rFonts w:cs="Times New Roman" w:ascii="Times New Roman" w:hAnsi="Times New Roman"/>
          <w:sz w:val="24"/>
        </w:rPr>
        <w:t>Assisting in development of internal policies for warehousing and other logistics</w:t>
      </w:r>
    </w:p>
    <w:p>
      <w:pPr>
        <w:pStyle w:val="Normal"/>
        <w:numPr>
          <w:ilvl w:val="0"/>
          <w:numId w:val="20"/>
        </w:numPr>
        <w:rPr>
          <w:rFonts w:ascii="Times New Roman" w:hAnsi="Times New Roman" w:cs="Times New Roman"/>
          <w:sz w:val="24"/>
        </w:rPr>
      </w:pPr>
      <w:r>
        <w:rPr>
          <w:rFonts w:cs="Times New Roman" w:ascii="Times New Roman" w:hAnsi="Times New Roman"/>
          <w:sz w:val="24"/>
        </w:rPr>
        <w:t>Developing informational database with respect to antidumping and trade regulations</w:t>
      </w:r>
    </w:p>
    <w:p>
      <w:pPr>
        <w:pStyle w:val="Normal"/>
        <w:rPr>
          <w:rFonts w:ascii="Times New Roman" w:hAnsi="Times New Roman" w:cs="Times New Roman"/>
          <w:sz w:val="24"/>
        </w:rPr>
      </w:pPr>
      <w:r>
        <w:rPr>
          <w:rFonts w:cs="Times New Roman" w:ascii="Times New Roman" w:hAnsi="Times New Roman"/>
          <w:sz w:val="24"/>
        </w:rPr>
      </w:r>
    </w:p>
    <w:p>
      <w:pPr>
        <w:pStyle w:val="Heading2"/>
        <w:rPr>
          <w:sz w:val="24"/>
        </w:rPr>
      </w:pPr>
      <w:r>
        <w:rPr>
          <w:sz w:val="24"/>
        </w:rPr>
        <w:t>Miscellaneous</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14"/>
        </w:numPr>
        <w:rPr>
          <w:rFonts w:ascii="Times New Roman" w:hAnsi="Times New Roman" w:cs="Times New Roman"/>
          <w:sz w:val="24"/>
        </w:rPr>
      </w:pPr>
      <w:r>
        <w:rPr>
          <w:rFonts w:cs="Times New Roman" w:ascii="Times New Roman" w:hAnsi="Times New Roman"/>
          <w:sz w:val="24"/>
        </w:rPr>
        <w:t>Antitrust Training</w:t>
      </w:r>
    </w:p>
    <w:p>
      <w:pPr>
        <w:pStyle w:val="Normal"/>
        <w:numPr>
          <w:ilvl w:val="1"/>
          <w:numId w:val="14"/>
        </w:numPr>
        <w:rPr>
          <w:rFonts w:ascii="Times New Roman" w:hAnsi="Times New Roman" w:cs="Times New Roman"/>
          <w:sz w:val="24"/>
        </w:rPr>
      </w:pPr>
      <w:r>
        <w:rPr>
          <w:rFonts w:cs="Times New Roman" w:ascii="Times New Roman" w:hAnsi="Times New Roman"/>
          <w:sz w:val="24"/>
        </w:rPr>
        <w:t>Garden State Paper (Harry Collins - Completed 2/3/01)</w:t>
      </w:r>
    </w:p>
    <w:p>
      <w:pPr>
        <w:pStyle w:val="Normal"/>
        <w:numPr>
          <w:ilvl w:val="1"/>
          <w:numId w:val="14"/>
        </w:numPr>
        <w:rPr>
          <w:rFonts w:ascii="Times New Roman" w:hAnsi="Times New Roman" w:cs="Times New Roman"/>
          <w:sz w:val="24"/>
        </w:rPr>
      </w:pPr>
      <w:r>
        <w:rPr>
          <w:rFonts w:cs="Times New Roman" w:ascii="Times New Roman" w:hAnsi="Times New Roman"/>
          <w:sz w:val="24"/>
        </w:rPr>
        <w:t>EIM Traders (Gerald Beeney - Completed 2/13/01)</w:t>
      </w:r>
    </w:p>
    <w:p>
      <w:pPr>
        <w:pStyle w:val="Normal"/>
        <w:numPr>
          <w:ilvl w:val="0"/>
          <w:numId w:val="14"/>
        </w:numPr>
        <w:rPr>
          <w:rFonts w:ascii="Times New Roman" w:hAnsi="Times New Roman" w:cs="Times New Roman"/>
          <w:sz w:val="24"/>
        </w:rPr>
      </w:pPr>
      <w:r>
        <w:rPr>
          <w:rFonts w:cs="Times New Roman" w:ascii="Times New Roman" w:hAnsi="Times New Roman"/>
          <w:sz w:val="24"/>
        </w:rPr>
        <w:t>Environmental Risk Education</w:t>
      </w:r>
    </w:p>
    <w:p>
      <w:pPr>
        <w:pStyle w:val="Normal"/>
        <w:numPr>
          <w:ilvl w:val="0"/>
          <w:numId w:val="5"/>
        </w:numPr>
        <w:ind w:hanging="0" w:start="1080" w:end="0"/>
        <w:rPr>
          <w:rFonts w:ascii="Times New Roman" w:hAnsi="Times New Roman" w:cs="Times New Roman"/>
          <w:sz w:val="24"/>
        </w:rPr>
      </w:pPr>
      <w:r>
        <w:rPr>
          <w:rFonts w:cs="Times New Roman" w:ascii="Times New Roman" w:hAnsi="Times New Roman"/>
          <w:sz w:val="24"/>
        </w:rPr>
        <w:t>Seminar:  Completed 1/18/01</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14"/>
        </w:numPr>
        <w:rPr>
          <w:rFonts w:ascii="Times New Roman" w:hAnsi="Times New Roman" w:cs="Times New Roman"/>
          <w:sz w:val="24"/>
        </w:rPr>
      </w:pPr>
      <w:r>
        <w:rPr>
          <w:rFonts w:cs="Times New Roman" w:ascii="Times New Roman" w:hAnsi="Times New Roman"/>
          <w:sz w:val="24"/>
        </w:rPr>
        <w:t>Employment/Labor Matters</w:t>
      </w:r>
    </w:p>
    <w:p>
      <w:pPr>
        <w:pStyle w:val="Normal"/>
        <w:numPr>
          <w:ilvl w:val="0"/>
          <w:numId w:val="5"/>
        </w:numPr>
        <w:ind w:hanging="360" w:start="1440" w:end="0"/>
        <w:rPr>
          <w:rFonts w:ascii="Times New Roman" w:hAnsi="Times New Roman" w:cs="Times New Roman"/>
          <w:sz w:val="24"/>
        </w:rPr>
      </w:pPr>
      <w:r>
        <w:rPr>
          <w:rFonts w:cs="Times New Roman" w:ascii="Times New Roman" w:hAnsi="Times New Roman"/>
          <w:sz w:val="24"/>
        </w:rPr>
        <w:t>Seminar:  Completed 1/25/01</w:t>
      </w:r>
    </w:p>
    <w:p>
      <w:pPr>
        <w:pStyle w:val="Normal"/>
        <w:numPr>
          <w:ilvl w:val="0"/>
          <w:numId w:val="14"/>
        </w:numPr>
        <w:rPr>
          <w:rFonts w:ascii="Times New Roman" w:hAnsi="Times New Roman" w:cs="Times New Roman"/>
          <w:sz w:val="24"/>
        </w:rPr>
      </w:pPr>
      <w:r>
        <w:rPr>
          <w:rFonts w:cs="Times New Roman" w:ascii="Times New Roman" w:hAnsi="Times New Roman"/>
          <w:sz w:val="24"/>
        </w:rPr>
        <w:t>Training re: Deal Process – Completed 4/01/01</w:t>
      </w:r>
    </w:p>
    <w:p>
      <w:pPr>
        <w:pStyle w:val="Normal"/>
        <w:numPr>
          <w:ilvl w:val="0"/>
          <w:numId w:val="14"/>
        </w:numPr>
        <w:rPr>
          <w:rFonts w:ascii="Times New Roman" w:hAnsi="Times New Roman" w:cs="Times New Roman"/>
          <w:sz w:val="24"/>
        </w:rPr>
      </w:pPr>
      <w:r>
        <w:rPr>
          <w:rFonts w:cs="Times New Roman" w:ascii="Times New Roman" w:hAnsi="Times New Roman"/>
          <w:sz w:val="24"/>
        </w:rPr>
        <w:t>Training of Attorneys – regarding trading forms and procedures (Offsite 3/7/01)</w:t>
      </w:r>
    </w:p>
    <w:p>
      <w:pPr>
        <w:pStyle w:val="Normal"/>
        <w:numPr>
          <w:ilvl w:val="0"/>
          <w:numId w:val="14"/>
        </w:numPr>
        <w:rPr>
          <w:rFonts w:ascii="Times New Roman" w:hAnsi="Times New Roman" w:cs="Times New Roman"/>
          <w:sz w:val="24"/>
        </w:rPr>
      </w:pPr>
      <w:r>
        <w:rPr>
          <w:rFonts w:cs="Times New Roman" w:ascii="Times New Roman" w:hAnsi="Times New Roman"/>
          <w:sz w:val="24"/>
        </w:rPr>
        <w:t>Letter of Credit training 5/23/01</w:t>
      </w:r>
    </w:p>
    <w:p>
      <w:pPr>
        <w:pStyle w:val="Normal"/>
        <w:numPr>
          <w:ilvl w:val="0"/>
          <w:numId w:val="14"/>
        </w:numPr>
        <w:rPr>
          <w:rFonts w:ascii="Times New Roman" w:hAnsi="Times New Roman" w:cs="Times New Roman"/>
          <w:sz w:val="24"/>
        </w:rPr>
      </w:pPr>
      <w:r>
        <w:rPr>
          <w:rFonts w:cs="Times New Roman" w:ascii="Times New Roman" w:hAnsi="Times New Roman"/>
          <w:sz w:val="24"/>
        </w:rPr>
        <w:t>Commodities Exchange Act training 5/21/01</w:t>
      </w:r>
    </w:p>
    <w:p>
      <w:pPr>
        <w:pStyle w:val="Normal"/>
        <w:numPr>
          <w:ilvl w:val="0"/>
          <w:numId w:val="14"/>
        </w:numPr>
        <w:rPr>
          <w:rFonts w:ascii="Times New Roman" w:hAnsi="Times New Roman" w:cs="Times New Roman"/>
          <w:sz w:val="24"/>
        </w:rPr>
      </w:pPr>
      <w:r>
        <w:rPr>
          <w:rFonts w:cs="Times New Roman" w:ascii="Times New Roman" w:hAnsi="Times New Roman"/>
          <w:sz w:val="24"/>
        </w:rPr>
        <w:t>FCPA/Anti-Boycott training 6/5/01 and 6/12/01</w:t>
      </w:r>
    </w:p>
    <w:p>
      <w:pPr>
        <w:pStyle w:val="Normal"/>
        <w:numPr>
          <w:ilvl w:val="0"/>
          <w:numId w:val="14"/>
        </w:numPr>
        <w:rPr>
          <w:rFonts w:ascii="Times New Roman" w:hAnsi="Times New Roman" w:cs="Times New Roman"/>
          <w:sz w:val="24"/>
        </w:rPr>
      </w:pPr>
      <w:r>
        <w:rPr>
          <w:rFonts w:cs="Times New Roman" w:ascii="Times New Roman" w:hAnsi="Times New Roman"/>
          <w:sz w:val="24"/>
        </w:rPr>
        <w:t>Review of Outside Counsel</w:t>
      </w:r>
    </w:p>
    <w:p>
      <w:pPr>
        <w:pStyle w:val="Normal"/>
        <w:numPr>
          <w:ilvl w:val="0"/>
          <w:numId w:val="14"/>
        </w:numPr>
        <w:rPr>
          <w:rFonts w:ascii="Times New Roman" w:hAnsi="Times New Roman" w:cs="Times New Roman"/>
          <w:sz w:val="24"/>
        </w:rPr>
      </w:pPr>
      <w:r>
        <w:rPr>
          <w:rFonts w:cs="Times New Roman" w:ascii="Times New Roman" w:hAnsi="Times New Roman"/>
          <w:sz w:val="24"/>
        </w:rPr>
        <w:t>Legal Resources on EIM intranet</w:t>
      </w:r>
    </w:p>
    <w:p>
      <w:pPr>
        <w:pStyle w:val="Normal"/>
        <w:numPr>
          <w:ilvl w:val="0"/>
          <w:numId w:val="14"/>
        </w:numPr>
        <w:rPr>
          <w:rFonts w:ascii="Times New Roman" w:hAnsi="Times New Roman" w:cs="Times New Roman"/>
          <w:sz w:val="24"/>
        </w:rPr>
      </w:pPr>
      <w:r>
        <w:rPr>
          <w:rFonts w:cs="Times New Roman" w:ascii="Times New Roman" w:hAnsi="Times New Roman"/>
          <w:sz w:val="24"/>
        </w:rPr>
        <w:t>LiveLink—Document storage/retention</w:t>
      </w:r>
    </w:p>
    <w:p>
      <w:pPr>
        <w:pStyle w:val="Normal"/>
        <w:numPr>
          <w:ilvl w:val="0"/>
          <w:numId w:val="14"/>
        </w:numPr>
        <w:rPr>
          <w:rFonts w:ascii="Times New Roman" w:hAnsi="Times New Roman" w:cs="Times New Roman"/>
          <w:sz w:val="24"/>
        </w:rPr>
      </w:pPr>
      <w:r>
        <w:rPr>
          <w:rFonts w:cs="Times New Roman" w:ascii="Times New Roman" w:hAnsi="Times New Roman"/>
          <w:sz w:val="24"/>
        </w:rPr>
        <w:t>OFTI/Re-Box Potential Dispute</w:t>
      </w:r>
    </w:p>
    <w:p>
      <w:pPr>
        <w:pStyle w:val="Heading1"/>
        <w:tabs>
          <w:tab w:val="left" w:pos="-90" w:leader="none"/>
          <w:tab w:val="left" w:pos="720" w:leader="none"/>
          <w:tab w:val="left" w:pos="1080" w:leader="none"/>
          <w:tab w:val="left" w:pos="1440" w:leader="none"/>
          <w:tab w:val="left" w:pos="1800" w:leader="none"/>
          <w:tab w:val="left" w:pos="2160" w:leader="none"/>
          <w:tab w:val="left" w:pos="5106" w:leader="none"/>
          <w:tab w:val="left" w:pos="7254" w:leader="none"/>
        </w:tabs>
        <w:ind w:start="0" w:end="-540"/>
        <w:rPr>
          <w:rFonts w:ascii="Times New Roman" w:hAnsi="Times New Roman" w:cs="Times New Roman"/>
          <w:bCs/>
          <w:sz w:val="24"/>
        </w:rPr>
      </w:pPr>
      <w:r>
        <w:rPr>
          <w:rFonts w:cs="Times New Roman"/>
          <w:bCs/>
          <w:sz w:val="24"/>
        </w:rPr>
      </w:r>
    </w:p>
    <w:p>
      <w:pPr>
        <w:pStyle w:val="Heading1"/>
        <w:tabs>
          <w:tab w:val="left" w:pos="-90" w:leader="none"/>
          <w:tab w:val="left" w:pos="720" w:leader="none"/>
          <w:tab w:val="left" w:pos="1080" w:leader="none"/>
          <w:tab w:val="left" w:pos="1440" w:leader="none"/>
          <w:tab w:val="left" w:pos="1800" w:leader="none"/>
          <w:tab w:val="left" w:pos="2160" w:leader="none"/>
          <w:tab w:val="left" w:pos="5106" w:leader="none"/>
          <w:tab w:val="left" w:pos="7254" w:leader="none"/>
        </w:tabs>
        <w:ind w:start="0" w:end="-540"/>
        <w:rPr>
          <w:bCs/>
          <w:sz w:val="24"/>
        </w:rPr>
      </w:pPr>
      <w:r>
        <w:rPr>
          <w:bCs/>
          <w:sz w:val="24"/>
        </w:rPr>
        <w:t>Enron Global Assets</w:t>
      </w:r>
    </w:p>
    <w:p>
      <w:pPr>
        <w:pStyle w:val="Heading1"/>
        <w:ind w:end="-540"/>
        <w:rPr>
          <w:bCs/>
          <w:sz w:val="24"/>
        </w:rPr>
      </w:pPr>
      <w:r>
        <w:rPr>
          <w:bCs/>
          <w:sz w:val="24"/>
        </w:rPr>
      </w:r>
    </w:p>
    <w:p>
      <w:pPr>
        <w:pStyle w:val="Heading1"/>
        <w:numPr>
          <w:ilvl w:val="0"/>
          <w:numId w:val="26"/>
        </w:numPr>
        <w:ind w:hanging="720" w:start="720" w:end="-540"/>
        <w:rPr>
          <w:b w:val="false"/>
          <w:bCs/>
          <w:sz w:val="24"/>
          <w:u w:val="none"/>
        </w:rPr>
      </w:pPr>
      <w:r>
        <w:rPr>
          <w:b w:val="false"/>
          <w:sz w:val="24"/>
          <w:u w:val="none"/>
        </w:rPr>
        <w:t xml:space="preserve">Major EGA </w:t>
      </w:r>
      <w:r>
        <w:rPr>
          <w:b w:val="false"/>
          <w:bCs/>
          <w:sz w:val="24"/>
          <w:u w:val="none"/>
        </w:rPr>
        <w:t>Prospective sales to AES and Project</w:t>
      </w:r>
      <w:r>
        <w:rPr>
          <w:b w:val="false"/>
          <w:bCs/>
          <w:sz w:val="24"/>
        </w:rPr>
        <w:t xml:space="preserve"> </w:t>
      </w:r>
      <w:r>
        <w:rPr>
          <w:b w:val="false"/>
          <w:bCs/>
          <w:sz w:val="24"/>
          <w:u w:val="none"/>
        </w:rPr>
        <w:t>Initiatives (Bruce Lundstrom and Bill Krenz)</w:t>
      </w:r>
    </w:p>
    <w:p>
      <w:pPr>
        <w:pStyle w:val="Heading1"/>
        <w:ind w:end="-540"/>
        <w:rPr>
          <w:b w:val="false"/>
          <w:bCs/>
          <w:sz w:val="24"/>
          <w:u w:val="none"/>
        </w:rPr>
      </w:pPr>
      <w:r>
        <w:rPr>
          <w:b w:val="false"/>
          <w:bCs/>
          <w:sz w:val="24"/>
          <w:u w:val="none"/>
        </w:rPr>
      </w:r>
    </w:p>
    <w:p>
      <w:pPr>
        <w:pStyle w:val="Heading1"/>
        <w:numPr>
          <w:ilvl w:val="0"/>
          <w:numId w:val="26"/>
        </w:numPr>
        <w:ind w:hanging="720" w:start="720" w:end="-540"/>
        <w:rPr>
          <w:b w:val="false"/>
          <w:bCs/>
          <w:sz w:val="24"/>
          <w:u w:val="none"/>
        </w:rPr>
      </w:pPr>
      <w:r>
        <w:rPr>
          <w:b w:val="false"/>
          <w:bCs/>
          <w:sz w:val="24"/>
          <w:u w:val="none"/>
        </w:rPr>
        <w:t xml:space="preserve">Hurricane continue.  EGA Legal is involved in accumulating documents and information.  Bill Krenz is involved in the deal documentation. </w:t>
      </w:r>
    </w:p>
    <w:p>
      <w:pPr>
        <w:pStyle w:val="Normal"/>
        <w:ind w:end="-540"/>
        <w:rPr>
          <w:rFonts w:ascii="Times New Roman" w:hAnsi="Times New Roman" w:cs="Times New Roman"/>
          <w:b/>
          <w:bCs/>
          <w:sz w:val="24"/>
          <w:u w:val="none"/>
        </w:rPr>
      </w:pPr>
      <w:r>
        <w:rPr>
          <w:rFonts w:cs="Times New Roman" w:ascii="Times New Roman" w:hAnsi="Times New Roman"/>
          <w:b/>
          <w:bCs/>
          <w:sz w:val="24"/>
          <w:u w:val="none"/>
        </w:rPr>
      </w:r>
    </w:p>
    <w:p>
      <w:pPr>
        <w:pStyle w:val="BodyText"/>
        <w:numPr>
          <w:ilvl w:val="0"/>
          <w:numId w:val="26"/>
        </w:numPr>
        <w:tabs>
          <w:tab w:val="clear" w:pos="720"/>
          <w:tab w:val="left" w:pos="1440" w:leader="none"/>
          <w:tab w:val="left" w:pos="2160" w:leader="none"/>
          <w:tab w:val="left" w:pos="7740" w:leader="none"/>
          <w:tab w:val="left" w:pos="8370" w:leader="none"/>
        </w:tabs>
        <w:ind w:hanging="720" w:start="720" w:end="-540"/>
        <w:rPr>
          <w:rFonts w:ascii="Times New Roman" w:hAnsi="Times New Roman" w:cs="Times New Roman"/>
          <w:sz w:val="24"/>
        </w:rPr>
      </w:pPr>
      <w:r>
        <w:rPr>
          <w:rFonts w:cs="Times New Roman" w:ascii="Times New Roman" w:hAnsi="Times New Roman"/>
          <w:bCs/>
          <w:sz w:val="24"/>
        </w:rPr>
        <w:t>China</w:t>
      </w:r>
      <w:r>
        <w:rPr>
          <w:rFonts w:cs="Times New Roman" w:ascii="Times New Roman" w:hAnsi="Times New Roman"/>
          <w:sz w:val="24"/>
        </w:rPr>
        <w:t xml:space="preserve"> (Bill Krenz)</w:t>
      </w:r>
    </w:p>
    <w:p>
      <w:pPr>
        <w:pStyle w:val="BodyText"/>
        <w:tabs>
          <w:tab w:val="left" w:pos="720" w:leader="none"/>
          <w:tab w:val="left" w:pos="1440" w:leader="none"/>
          <w:tab w:val="left" w:pos="2160" w:leader="none"/>
          <w:tab w:val="left" w:pos="7740" w:leader="none"/>
          <w:tab w:val="left" w:pos="8370" w:leader="none"/>
        </w:tabs>
        <w:ind w:start="720" w:end="-540"/>
        <w:rPr>
          <w:rFonts w:ascii="Times New Roman" w:hAnsi="Times New Roman" w:cs="Times New Roman"/>
          <w:sz w:val="24"/>
        </w:rPr>
      </w:pPr>
      <w:r>
        <w:rPr>
          <w:rFonts w:cs="Times New Roman" w:ascii="Times New Roman" w:hAnsi="Times New Roman"/>
          <w:sz w:val="24"/>
        </w:rPr>
        <w:t>Hainan Meinan Power Company (“HMPC”) Repatriation</w:t>
      </w:r>
    </w:p>
    <w:p>
      <w:pPr>
        <w:pStyle w:val="BodyText"/>
        <w:tabs>
          <w:tab w:val="clear" w:pos="720"/>
          <w:tab w:val="left" w:pos="7740" w:leader="none"/>
          <w:tab w:val="left" w:pos="8370" w:leader="none"/>
        </w:tabs>
        <w:ind w:end="-540"/>
        <w:rPr>
          <w:rFonts w:ascii="Times New Roman" w:hAnsi="Times New Roman" w:cs="Times New Roman"/>
          <w:b/>
          <w:sz w:val="24"/>
        </w:rPr>
      </w:pPr>
      <w:r>
        <w:rPr>
          <w:rFonts w:cs="Times New Roman" w:ascii="Times New Roman" w:hAnsi="Times New Roman"/>
          <w:b/>
          <w:sz w:val="24"/>
        </w:rPr>
      </w:r>
    </w:p>
    <w:p>
      <w:pPr>
        <w:pStyle w:val="BodyText"/>
        <w:ind w:start="720" w:end="-540"/>
        <w:rPr>
          <w:rFonts w:ascii="Times New Roman" w:hAnsi="Times New Roman" w:cs="Times New Roman"/>
          <w:sz w:val="24"/>
        </w:rPr>
      </w:pPr>
      <w:r>
        <w:rPr>
          <w:rFonts w:cs="Times New Roman" w:ascii="Times New Roman" w:hAnsi="Times New Roman"/>
          <w:sz w:val="24"/>
        </w:rPr>
        <w:t>HMPC now has the RMB equivalent of approximately US$ 156 million in a bank account in Haikou – proceeds from the sale of its Hainan power plant to HEPCO.  The process is underway with Chinese authorities regarding the conversion of those funds to US dollars and the repatriation of those funds back to the US.  The process of liquidating HMPC is anticipated to commence shortly.</w:t>
      </w:r>
    </w:p>
    <w:p>
      <w:pPr>
        <w:pStyle w:val="BodyText"/>
        <w:ind w:start="720" w:end="-540"/>
        <w:rPr>
          <w:rFonts w:ascii="Times New Roman" w:hAnsi="Times New Roman" w:cs="Times New Roman"/>
          <w:sz w:val="24"/>
        </w:rPr>
      </w:pPr>
      <w:r>
        <w:rPr>
          <w:rFonts w:cs="Times New Roman" w:ascii="Times New Roman" w:hAnsi="Times New Roman"/>
          <w:sz w:val="24"/>
        </w:rPr>
      </w:r>
    </w:p>
    <w:p>
      <w:pPr>
        <w:pStyle w:val="BodyText"/>
        <w:ind w:start="720" w:end="-540"/>
        <w:rPr/>
      </w:pPr>
      <w:r>
        <w:rPr>
          <w:rFonts w:cs="Times New Roman" w:ascii="Times New Roman" w:hAnsi="Times New Roman"/>
          <w:bCs/>
          <w:sz w:val="24"/>
        </w:rPr>
        <w:t>Sichuan to Wuhan Pipeline Project</w:t>
      </w:r>
      <w:r>
        <w:rPr>
          <w:rFonts w:cs="Times New Roman" w:ascii="Times New Roman" w:hAnsi="Times New Roman"/>
          <w:b/>
          <w:sz w:val="24"/>
        </w:rPr>
        <w:t xml:space="preserve"> </w:t>
      </w:r>
      <w:r>
        <w:rPr>
          <w:rFonts w:cs="Times New Roman" w:ascii="Times New Roman" w:hAnsi="Times New Roman"/>
          <w:sz w:val="24"/>
        </w:rPr>
        <w:t>(Bill Krenz)</w:t>
      </w:r>
    </w:p>
    <w:p>
      <w:pPr>
        <w:pStyle w:val="BodyText"/>
        <w:ind w:start="720" w:end="-540"/>
        <w:rPr>
          <w:rFonts w:ascii="Times New Roman" w:hAnsi="Times New Roman" w:cs="Times New Roman"/>
          <w:b/>
          <w:sz w:val="24"/>
        </w:rPr>
      </w:pPr>
      <w:r>
        <w:rPr>
          <w:rFonts w:cs="Times New Roman" w:ascii="Times New Roman" w:hAnsi="Times New Roman"/>
          <w:b/>
          <w:sz w:val="24"/>
        </w:rPr>
      </w:r>
    </w:p>
    <w:p>
      <w:pPr>
        <w:pStyle w:val="BodyText"/>
        <w:ind w:start="720" w:end="-540"/>
        <w:rPr>
          <w:rFonts w:ascii="Times New Roman" w:hAnsi="Times New Roman" w:cs="Times New Roman"/>
          <w:sz w:val="24"/>
        </w:rPr>
      </w:pPr>
      <w:r>
        <w:rPr>
          <w:rFonts w:cs="Times New Roman" w:ascii="Times New Roman" w:hAnsi="Times New Roman"/>
          <w:sz w:val="24"/>
        </w:rPr>
        <w:t>Discussions are ongoing with United Technologies (“UT”) regarding a disposition to UT of most of EGA’s interest in the development of the gas pipeline project from Sichuan to Wuhan, PRC.</w:t>
      </w:r>
    </w:p>
    <w:p>
      <w:pPr>
        <w:pStyle w:val="BodyText"/>
        <w:tabs>
          <w:tab w:val="left" w:pos="720" w:leader="none"/>
        </w:tabs>
        <w:ind w:end="-54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080" w:leader="none"/>
          <w:tab w:val="left" w:pos="1440" w:leader="none"/>
          <w:tab w:val="left" w:pos="5106" w:leader="none"/>
          <w:tab w:val="left" w:pos="7254" w:leader="none"/>
        </w:tabs>
        <w:ind w:start="0" w:end="-540"/>
        <w:rPr>
          <w:sz w:val="24"/>
          <w:u w:val="none"/>
        </w:rPr>
      </w:pPr>
      <w:r>
        <w:rPr>
          <w:sz w:val="24"/>
          <w:u w:val="none"/>
        </w:rPr>
        <w:t>III.</w:t>
        <w:tab/>
      </w:r>
      <w:r>
        <w:rPr>
          <w:b w:val="false"/>
          <w:sz w:val="24"/>
          <w:u w:val="none"/>
        </w:rPr>
        <w:t>Enron Nigeria Power Holding Limited  (Yao Apasu)</w:t>
      </w:r>
    </w:p>
    <w:p>
      <w:pPr>
        <w:pStyle w:val="Normal"/>
        <w:tabs>
          <w:tab w:val="left" w:pos="720" w:leader="none"/>
          <w:tab w:val="left" w:pos="1080" w:leader="none"/>
          <w:tab w:val="left" w:pos="1440" w:leader="none"/>
          <w:tab w:val="left" w:pos="1800" w:leader="none"/>
          <w:tab w:val="left" w:pos="2160" w:leader="none"/>
          <w:tab w:val="left" w:pos="2520" w:leader="none"/>
        </w:tabs>
        <w:ind w:end="-540"/>
        <w:rPr>
          <w:rFonts w:ascii="Times New Roman" w:hAnsi="Times New Roman" w:cs="Times New Roman"/>
          <w:sz w:val="24"/>
        </w:rPr>
      </w:pPr>
      <w:r>
        <w:rPr>
          <w:rFonts w:cs="Times New Roman" w:ascii="Times New Roman" w:hAnsi="Times New Roman"/>
          <w:sz w:val="24"/>
        </w:rPr>
        <w:tab/>
        <w:t>548 MW gas-fired plant in Lagos, Nigeria</w:t>
      </w:r>
    </w:p>
    <w:p>
      <w:pPr>
        <w:pStyle w:val="Normal"/>
        <w:tabs>
          <w:tab w:val="left" w:pos="720" w:leader="none"/>
          <w:tab w:val="left" w:pos="1080" w:leader="none"/>
          <w:tab w:val="left" w:pos="1440" w:leader="none"/>
          <w:tab w:val="left" w:pos="1800" w:leader="none"/>
          <w:tab w:val="left" w:pos="2160" w:leader="none"/>
        </w:tabs>
        <w:ind w:end="-540"/>
        <w:rPr>
          <w:rFonts w:ascii="Times New Roman" w:hAnsi="Times New Roman" w:cs="Times New Roman"/>
          <w:sz w:val="24"/>
        </w:rPr>
      </w:pPr>
      <w:r>
        <w:rPr>
          <w:rFonts w:cs="Times New Roman" w:ascii="Times New Roman" w:hAnsi="Times New Roman"/>
          <w:sz w:val="24"/>
        </w:rPr>
        <w:tab/>
        <w:t>280 km Pipeline from the Niger Delta to Lagos</w:t>
      </w:r>
    </w:p>
    <w:p>
      <w:pPr>
        <w:pStyle w:val="Normal"/>
        <w:ind w:end="-540"/>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1890" w:leader="none"/>
        </w:tabs>
        <w:ind w:hanging="720" w:start="720" w:end="-540"/>
        <w:rPr>
          <w:rFonts w:ascii="Times New Roman" w:hAnsi="Times New Roman" w:cs="Times New Roman"/>
          <w:sz w:val="24"/>
        </w:rPr>
      </w:pPr>
      <w:r>
        <w:rPr>
          <w:rFonts w:cs="Times New Roman" w:ascii="Times New Roman" w:hAnsi="Times New Roman"/>
          <w:sz w:val="24"/>
        </w:rPr>
        <w:tab/>
        <w:t>Meetings in Abuja and Lagos are planned for the last week of May and the first week of June to continue renegotiating the IPP PPA.</w:t>
      </w:r>
    </w:p>
    <w:p>
      <w:pPr>
        <w:pStyle w:val="Normal"/>
        <w:ind w:end="-540"/>
        <w:rPr>
          <w:rFonts w:ascii="Times New Roman" w:hAnsi="Times New Roman" w:cs="Times New Roman"/>
          <w:sz w:val="24"/>
        </w:rPr>
      </w:pPr>
      <w:r>
        <w:rPr>
          <w:rFonts w:cs="Times New Roman" w:ascii="Times New Roman" w:hAnsi="Times New Roman"/>
          <w:sz w:val="24"/>
        </w:rPr>
      </w:r>
    </w:p>
    <w:p>
      <w:pPr>
        <w:pStyle w:val="Normal"/>
        <w:keepNext w:val="true"/>
        <w:keepLines/>
        <w:ind w:end="-540"/>
        <w:rPr/>
      </w:pPr>
      <w:r>
        <w:rPr>
          <w:rFonts w:cs="Times New Roman" w:ascii="Times New Roman" w:hAnsi="Times New Roman"/>
          <w:sz w:val="24"/>
        </w:rPr>
        <w:t>IV.</w:t>
        <w:tab/>
      </w:r>
      <w:r>
        <w:rPr>
          <w:rFonts w:cs="Times New Roman" w:ascii="Times New Roman" w:hAnsi="Times New Roman"/>
          <w:bCs/>
          <w:sz w:val="24"/>
        </w:rPr>
        <w:t>Dominican Republic</w:t>
      </w:r>
      <w:r>
        <w:rPr>
          <w:rFonts w:cs="Times New Roman" w:ascii="Times New Roman" w:hAnsi="Times New Roman"/>
          <w:b/>
          <w:sz w:val="24"/>
        </w:rPr>
        <w:t xml:space="preserve"> </w:t>
      </w:r>
      <w:r>
        <w:rPr>
          <w:rFonts w:cs="Times New Roman" w:ascii="Times New Roman" w:hAnsi="Times New Roman"/>
          <w:sz w:val="24"/>
        </w:rPr>
        <w:t>(Yao Apasu)</w:t>
      </w:r>
    </w:p>
    <w:p>
      <w:pPr>
        <w:pStyle w:val="Normal"/>
        <w:keepNext w:val="true"/>
        <w:keepLines/>
        <w:ind w:firstLine="720" w:end="-540"/>
        <w:rPr>
          <w:rFonts w:ascii="Times New Roman" w:hAnsi="Times New Roman" w:cs="Times New Roman"/>
          <w:sz w:val="24"/>
        </w:rPr>
      </w:pPr>
      <w:r>
        <w:rPr>
          <w:rFonts w:cs="Times New Roman" w:ascii="Times New Roman" w:hAnsi="Times New Roman"/>
          <w:sz w:val="24"/>
        </w:rPr>
        <w:t>Smith Enron Cogeneration Limited Partnership (SECLP)</w:t>
      </w:r>
    </w:p>
    <w:p>
      <w:pPr>
        <w:pStyle w:val="Normal"/>
        <w:keepNext w:val="true"/>
        <w:keepLines/>
        <w:ind w:end="-540"/>
        <w:rPr>
          <w:rFonts w:ascii="Times New Roman" w:hAnsi="Times New Roman" w:cs="Times New Roman"/>
          <w:sz w:val="24"/>
        </w:rPr>
      </w:pPr>
      <w:r>
        <w:rPr>
          <w:rFonts w:cs="Times New Roman" w:ascii="Times New Roman" w:hAnsi="Times New Roman"/>
          <w:sz w:val="24"/>
        </w:rPr>
      </w:r>
    </w:p>
    <w:p>
      <w:pPr>
        <w:pStyle w:val="BodyText"/>
        <w:numPr>
          <w:ilvl w:val="0"/>
          <w:numId w:val="11"/>
        </w:numPr>
        <w:ind w:hanging="720" w:start="1440" w:end="-540"/>
        <w:rPr>
          <w:rFonts w:ascii="Times New Roman" w:hAnsi="Times New Roman" w:cs="Times New Roman"/>
          <w:sz w:val="24"/>
        </w:rPr>
      </w:pPr>
      <w:r>
        <w:rPr>
          <w:rFonts w:cs="Times New Roman" w:ascii="Times New Roman" w:hAnsi="Times New Roman"/>
          <w:sz w:val="24"/>
        </w:rPr>
        <w:t>Transfer of PPA. No new significant legal developments.</w:t>
      </w:r>
    </w:p>
    <w:p>
      <w:pPr>
        <w:pStyle w:val="BodyTextIndent2"/>
        <w:ind w:hanging="0" w:end="-540"/>
        <w:rPr>
          <w:rFonts w:ascii="Times New Roman" w:hAnsi="Times New Roman" w:cs="Times New Roman"/>
          <w:sz w:val="24"/>
        </w:rPr>
      </w:pPr>
      <w:r>
        <w:rPr>
          <w:rFonts w:cs="Times New Roman"/>
          <w:sz w:val="24"/>
        </w:rPr>
      </w:r>
    </w:p>
    <w:p>
      <w:pPr>
        <w:pStyle w:val="BodyTextIndent2"/>
        <w:numPr>
          <w:ilvl w:val="0"/>
          <w:numId w:val="11"/>
        </w:numPr>
        <w:ind w:hanging="720" w:start="1440" w:end="-540"/>
        <w:rPr>
          <w:sz w:val="24"/>
        </w:rPr>
      </w:pPr>
      <w:r>
        <w:rPr>
          <w:sz w:val="24"/>
        </w:rPr>
        <w:t>Delinquent Accounts Receivable.  CDE’s internal counsel has communicated verbally to SECLP that it did not accept SECLP’s position regarding the invoiced suspended electricity during shutdown periods last year.  CDE is arguing that SECLP could have paid itself for any amounts due directly from the government’s letter of credit instead of shutting down.  SECLP has requested the reference to the pertinent provisions.  A meeting is scheduled with their legal counsel to discuss the matter.  SECLP is considering another shutdown at the end of the month.</w:t>
      </w:r>
    </w:p>
    <w:p>
      <w:pPr>
        <w:pStyle w:val="BodyTextIndent"/>
        <w:ind w:start="1440" w:end="-540"/>
        <w:rPr>
          <w:sz w:val="24"/>
        </w:rPr>
      </w:pPr>
      <w:r>
        <w:rPr>
          <w:sz w:val="24"/>
        </w:rPr>
      </w:r>
    </w:p>
    <w:p>
      <w:pPr>
        <w:pStyle w:val="BodyTextIndent3"/>
        <w:numPr>
          <w:ilvl w:val="0"/>
          <w:numId w:val="11"/>
        </w:numPr>
        <w:ind w:hanging="720" w:start="1440" w:end="-540"/>
        <w:rPr>
          <w:sz w:val="24"/>
        </w:rPr>
      </w:pPr>
      <w:r>
        <w:rPr>
          <w:sz w:val="24"/>
        </w:rPr>
        <w:t>Boilers. No new significant legal developments.</w:t>
      </w:r>
    </w:p>
    <w:p>
      <w:pPr>
        <w:pStyle w:val="Normal"/>
        <w:ind w:end="-540"/>
        <w:rPr>
          <w:rFonts w:ascii="Times New Roman" w:hAnsi="Times New Roman" w:cs="Times New Roman"/>
          <w:sz w:val="24"/>
        </w:rPr>
      </w:pPr>
      <w:r>
        <w:rPr>
          <w:rFonts w:cs="Times New Roman" w:ascii="Times New Roman" w:hAnsi="Times New Roman"/>
          <w:sz w:val="24"/>
        </w:rPr>
      </w:r>
    </w:p>
    <w:p>
      <w:pPr>
        <w:pStyle w:val="BodyTextIndent2"/>
        <w:numPr>
          <w:ilvl w:val="0"/>
          <w:numId w:val="11"/>
        </w:numPr>
        <w:ind w:hanging="720" w:start="1440" w:end="-540"/>
        <w:rPr>
          <w:sz w:val="24"/>
        </w:rPr>
      </w:pPr>
      <w:r>
        <w:rPr>
          <w:sz w:val="24"/>
        </w:rPr>
        <w:t xml:space="preserve">Steam Turbines.  A meeting with HSB (SECLP’s insurance company) is planned for June 13 to continue the negotiation of the steam turbine claims. </w:t>
      </w:r>
    </w:p>
    <w:p>
      <w:pPr>
        <w:pStyle w:val="BodyTextIndent2"/>
        <w:ind w:hanging="0" w:start="0" w:end="-540"/>
        <w:rPr>
          <w:sz w:val="24"/>
        </w:rPr>
      </w:pPr>
      <w:r>
        <w:rPr>
          <w:sz w:val="24"/>
        </w:rPr>
      </w:r>
    </w:p>
    <w:p>
      <w:pPr>
        <w:pStyle w:val="BodyText"/>
        <w:numPr>
          <w:ilvl w:val="0"/>
          <w:numId w:val="16"/>
        </w:numPr>
        <w:tabs>
          <w:tab w:val="clear" w:pos="720"/>
          <w:tab w:val="left" w:pos="1440" w:leader="none"/>
          <w:tab w:val="left" w:pos="2160" w:leader="none"/>
          <w:tab w:val="left" w:pos="7740" w:leader="none"/>
          <w:tab w:val="left" w:pos="8370" w:leader="none"/>
        </w:tabs>
        <w:ind w:hanging="720" w:start="720" w:end="-540"/>
        <w:rPr>
          <w:rFonts w:ascii="Times New Roman" w:hAnsi="Times New Roman" w:cs="Times New Roman"/>
          <w:sz w:val="24"/>
        </w:rPr>
      </w:pPr>
      <w:r>
        <w:rPr>
          <w:rFonts w:cs="Times New Roman" w:ascii="Times New Roman" w:hAnsi="Times New Roman"/>
          <w:bCs/>
          <w:sz w:val="24"/>
        </w:rPr>
        <w:t xml:space="preserve">Jamaica </w:t>
      </w:r>
      <w:r>
        <w:rPr>
          <w:rFonts w:cs="Times New Roman" w:ascii="Times New Roman" w:hAnsi="Times New Roman"/>
          <w:sz w:val="24"/>
        </w:rPr>
        <w:t>(Yao Apasu)</w:t>
      </w:r>
    </w:p>
    <w:p>
      <w:pPr>
        <w:pStyle w:val="BodyText"/>
        <w:tabs>
          <w:tab w:val="left" w:pos="720" w:leader="none"/>
          <w:tab w:val="left" w:pos="1440" w:leader="none"/>
          <w:tab w:val="left" w:pos="2160" w:leader="none"/>
          <w:tab w:val="left" w:pos="7740" w:leader="none"/>
          <w:tab w:val="left" w:pos="8370" w:leader="none"/>
        </w:tabs>
        <w:ind w:start="720" w:end="-540"/>
        <w:rPr>
          <w:rFonts w:ascii="Times New Roman" w:hAnsi="Times New Roman" w:cs="Times New Roman"/>
          <w:sz w:val="24"/>
        </w:rPr>
      </w:pPr>
      <w:r>
        <w:rPr>
          <w:rFonts w:cs="Times New Roman" w:ascii="Times New Roman" w:hAnsi="Times New Roman"/>
          <w:sz w:val="24"/>
        </w:rPr>
        <w:t>ILG</w:t>
      </w:r>
    </w:p>
    <w:p>
      <w:pPr>
        <w:pStyle w:val="BodyText"/>
        <w:tabs>
          <w:tab w:val="left" w:pos="720" w:leader="none"/>
          <w:tab w:val="left" w:pos="1440" w:leader="none"/>
          <w:tab w:val="left" w:pos="2160" w:leader="none"/>
          <w:tab w:val="left" w:pos="7740" w:leader="none"/>
          <w:tab w:val="left" w:pos="8370" w:leader="none"/>
        </w:tabs>
        <w:ind w:end="-540"/>
        <w:rPr>
          <w:rFonts w:ascii="Times New Roman" w:hAnsi="Times New Roman" w:cs="Times New Roman"/>
          <w:sz w:val="24"/>
        </w:rPr>
      </w:pPr>
      <w:r>
        <w:rPr>
          <w:rFonts w:cs="Times New Roman" w:ascii="Times New Roman" w:hAnsi="Times New Roman"/>
          <w:sz w:val="24"/>
        </w:rPr>
      </w:r>
    </w:p>
    <w:p>
      <w:pPr>
        <w:pStyle w:val="BodyText"/>
        <w:tabs>
          <w:tab w:val="left" w:pos="720" w:leader="none"/>
          <w:tab w:val="left" w:pos="1440" w:leader="none"/>
          <w:tab w:val="left" w:pos="2160" w:leader="none"/>
          <w:tab w:val="left" w:pos="7740" w:leader="none"/>
          <w:tab w:val="left" w:pos="8370" w:leader="none"/>
        </w:tabs>
        <w:ind w:hanging="720" w:start="720" w:end="-540"/>
        <w:rPr>
          <w:rFonts w:ascii="Times New Roman" w:hAnsi="Times New Roman" w:cs="Times New Roman"/>
          <w:sz w:val="24"/>
        </w:rPr>
      </w:pPr>
      <w:r>
        <w:rPr>
          <w:rFonts w:cs="Times New Roman" w:ascii="Times New Roman" w:hAnsi="Times New Roman"/>
          <w:sz w:val="24"/>
        </w:rPr>
        <w:tab/>
        <w:t xml:space="preserve">No update. </w:t>
      </w:r>
    </w:p>
    <w:p>
      <w:pPr>
        <w:pStyle w:val="BodyText"/>
        <w:tabs>
          <w:tab w:val="left" w:pos="720" w:leader="none"/>
          <w:tab w:val="left" w:pos="1440" w:leader="none"/>
          <w:tab w:val="left" w:pos="2160" w:leader="none"/>
          <w:tab w:val="left" w:pos="7740" w:leader="none"/>
          <w:tab w:val="left" w:pos="8370" w:leader="none"/>
        </w:tabs>
        <w:ind w:end="-540"/>
        <w:rPr>
          <w:rFonts w:ascii="Times New Roman" w:hAnsi="Times New Roman" w:cs="Times New Roman"/>
          <w:sz w:val="24"/>
        </w:rPr>
      </w:pPr>
      <w:r>
        <w:rPr>
          <w:rFonts w:cs="Times New Roman" w:ascii="Times New Roman" w:hAnsi="Times New Roman"/>
          <w:sz w:val="24"/>
        </w:rPr>
      </w:r>
    </w:p>
    <w:p>
      <w:pPr>
        <w:pStyle w:val="BodyText"/>
        <w:numPr>
          <w:ilvl w:val="0"/>
          <w:numId w:val="16"/>
        </w:numPr>
        <w:ind w:hanging="720" w:start="720" w:end="-540"/>
        <w:rPr>
          <w:rFonts w:ascii="Times New Roman" w:hAnsi="Times New Roman" w:cs="Times New Roman"/>
          <w:sz w:val="24"/>
        </w:rPr>
      </w:pPr>
      <w:r>
        <w:rPr>
          <w:rFonts w:cs="Times New Roman" w:ascii="Times New Roman" w:hAnsi="Times New Roman"/>
          <w:bCs/>
          <w:sz w:val="24"/>
        </w:rPr>
        <w:t xml:space="preserve">India </w:t>
      </w:r>
      <w:r>
        <w:rPr>
          <w:rFonts w:cs="Times New Roman" w:ascii="Times New Roman" w:hAnsi="Times New Roman"/>
          <w:sz w:val="24"/>
        </w:rPr>
        <w:t>(Robert Mathis and Paul Kraske)</w:t>
      </w:r>
    </w:p>
    <w:p>
      <w:pPr>
        <w:pStyle w:val="BodyText"/>
        <w:ind w:start="720" w:end="-540"/>
        <w:rPr>
          <w:rFonts w:ascii="Times New Roman" w:hAnsi="Times New Roman" w:cs="Times New Roman"/>
          <w:sz w:val="24"/>
        </w:rPr>
      </w:pPr>
      <w:r>
        <w:rPr>
          <w:rFonts w:cs="Times New Roman" w:ascii="Times New Roman" w:hAnsi="Times New Roman"/>
          <w:sz w:val="24"/>
        </w:rPr>
        <w:t>Dabhol Power Company</w:t>
      </w:r>
    </w:p>
    <w:p>
      <w:pPr>
        <w:pStyle w:val="Heading2"/>
        <w:rPr>
          <w:rFonts w:ascii="Times New Roman" w:hAnsi="Times New Roman" w:cs="Times New Roman"/>
          <w:b/>
          <w:sz w:val="24"/>
          <w:u w:val="none"/>
        </w:rPr>
      </w:pPr>
      <w:r>
        <w:rPr>
          <w:rFonts w:cs="Times New Roman"/>
          <w:b/>
          <w:sz w:val="24"/>
          <w:u w:val="none"/>
        </w:rPr>
      </w:r>
    </w:p>
    <w:p>
      <w:pPr>
        <w:pStyle w:val="Heading1"/>
        <w:tabs>
          <w:tab w:val="left" w:pos="0" w:leader="none"/>
          <w:tab w:val="left" w:pos="720" w:leader="none"/>
          <w:tab w:val="left" w:pos="1080" w:leader="none"/>
          <w:tab w:val="left" w:pos="1440" w:leader="none"/>
          <w:tab w:val="left" w:pos="1800" w:leader="none"/>
          <w:tab w:val="left" w:pos="2160" w:leader="none"/>
          <w:tab w:val="left" w:pos="5106" w:leader="none"/>
          <w:tab w:val="left" w:pos="7254" w:leader="none"/>
        </w:tabs>
        <w:ind w:start="0" w:end="0"/>
        <w:jc w:val="both"/>
        <w:rPr>
          <w:b w:val="false"/>
          <w:bCs/>
          <w:sz w:val="24"/>
          <w:u w:val="none"/>
        </w:rPr>
      </w:pPr>
      <w:r>
        <w:rPr>
          <w:b w:val="false"/>
          <w:bCs/>
          <w:sz w:val="24"/>
          <w:u w:val="none"/>
        </w:rPr>
        <w:tab/>
        <w:t>A.</w:t>
        <w:tab/>
        <w:t>MSEB Payment Default and Status</w:t>
      </w:r>
    </w:p>
    <w:p>
      <w:pPr>
        <w:pStyle w:val="Normal"/>
        <w:jc w:val="both"/>
        <w:rPr>
          <w:rFonts w:ascii="Times New Roman" w:hAnsi="Times New Roman" w:cs="Times New Roman"/>
          <w:b/>
          <w:bCs/>
          <w:sz w:val="24"/>
          <w:u w:val="none"/>
        </w:rPr>
      </w:pPr>
      <w:r>
        <w:rPr>
          <w:rFonts w:cs="Times New Roman" w:ascii="Times New Roman" w:hAnsi="Times New Roman"/>
          <w:b/>
          <w:bCs/>
          <w:sz w:val="24"/>
          <w:u w:val="none"/>
        </w:rPr>
      </w:r>
    </w:p>
    <w:p>
      <w:pPr>
        <w:pStyle w:val="Normal"/>
        <w:ind w:start="1080" w:end="0"/>
        <w:jc w:val="both"/>
        <w:rPr>
          <w:rFonts w:ascii="Times New Roman" w:hAnsi="Times New Roman" w:cs="Times New Roman"/>
          <w:sz w:val="24"/>
        </w:rPr>
      </w:pPr>
      <w:r>
        <w:rPr>
          <w:rFonts w:cs="Times New Roman" w:ascii="Times New Roman" w:hAnsi="Times New Roman"/>
          <w:sz w:val="24"/>
        </w:rPr>
        <w:t>The remainder of the December bill, an amount of Rs.102 Crs, continues to be outstanding. Neither Government of Maharashtra (“GOM”) nor Government of India (“GOI”) has paid under their respective guarantees.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1080" w:end="0"/>
        <w:jc w:val="both"/>
        <w:rPr>
          <w:rFonts w:ascii="Times New Roman" w:hAnsi="Times New Roman" w:cs="Times New Roman"/>
          <w:sz w:val="24"/>
        </w:rPr>
      </w:pPr>
      <w:r>
        <w:rPr>
          <w:rFonts w:cs="Times New Roman" w:ascii="Times New Roman" w:hAnsi="Times New Roman"/>
          <w:sz w:val="24"/>
        </w:rPr>
        <w:t xml:space="preserve">Similarly, the January bill, in the amount of Rs.127 Crs., remains unpaid as it is under dispute due to the Maharashtra State Electricity Board’s (“MSEB”) claim of misdeclaration.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1080" w:end="0"/>
        <w:jc w:val="both"/>
        <w:rPr/>
      </w:pPr>
      <w:r>
        <w:rPr>
          <w:rFonts w:cs="Times New Roman" w:ascii="Times New Roman" w:hAnsi="Times New Roman"/>
          <w:sz w:val="24"/>
        </w:rPr>
        <w:t>The February bill in the amount of Rs.110 Crs. was paid by MSEB on March 30, 2001, which payment was made under protest. The March bill, submitted for Rs.147 Crs., was paid by MSEB in the amount of Rs.134 Crs on April 26, 2001.  The payment was made under protest.  The April bill in the amount of Rs.139 Crs. was submitted to MSEB on May 5</w:t>
      </w:r>
      <w:r>
        <w:rPr>
          <w:rFonts w:cs="Times New Roman" w:ascii="Times New Roman" w:hAnsi="Times New Roman"/>
          <w:sz w:val="24"/>
          <w:vertAlign w:val="superscript"/>
        </w:rPr>
        <w:t>th</w:t>
      </w:r>
      <w:r>
        <w:rPr>
          <w:rFonts w:cs="Times New Roman" w:ascii="Times New Roman" w:hAnsi="Times New Roman"/>
          <w:sz w:val="24"/>
        </w:rPr>
        <w:t xml:space="preserve"> and will become due on May 25</w:t>
      </w:r>
      <w:r>
        <w:rPr>
          <w:rFonts w:cs="Times New Roman" w:ascii="Times New Roman" w:hAnsi="Times New Roman"/>
          <w:sz w:val="24"/>
          <w:vertAlign w:val="superscript"/>
        </w:rPr>
        <w:t>th</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360" w:start="1080" w:end="0"/>
        <w:jc w:val="both"/>
        <w:rPr>
          <w:rFonts w:ascii="Times New Roman" w:hAnsi="Times New Roman" w:cs="Times New Roman"/>
          <w:sz w:val="24"/>
        </w:rPr>
      </w:pPr>
      <w:r>
        <w:rPr>
          <w:rFonts w:cs="Times New Roman" w:ascii="Times New Roman" w:hAnsi="Times New Roman"/>
          <w:sz w:val="24"/>
        </w:rPr>
        <w:t>B.</w:t>
        <w:tab/>
        <w:t xml:space="preserve">Lender Meeting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1080" w:end="0"/>
        <w:jc w:val="both"/>
        <w:rPr>
          <w:rFonts w:ascii="Times New Roman" w:hAnsi="Times New Roman" w:cs="Times New Roman"/>
          <w:sz w:val="24"/>
        </w:rPr>
      </w:pPr>
      <w:r>
        <w:rPr>
          <w:rFonts w:cs="Times New Roman" w:ascii="Times New Roman" w:hAnsi="Times New Roman"/>
          <w:sz w:val="24"/>
        </w:rPr>
        <w:t xml:space="preserve">On April 23, 2001 a meeting was held with all the Phase I and Phase II lenders in London to discuss the status of the project.  At the conclusion of this meeting, DPC sought the lenders’ consent for issuing a Preliminary Termination Notice (“PTN”) to MSEB.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1080" w:end="0"/>
        <w:jc w:val="both"/>
        <w:rPr>
          <w:rFonts w:ascii="Times New Roman" w:hAnsi="Times New Roman" w:cs="Times New Roman"/>
          <w:sz w:val="24"/>
        </w:rPr>
      </w:pPr>
      <w:r>
        <w:rPr>
          <w:rFonts w:cs="Times New Roman" w:ascii="Times New Roman" w:hAnsi="Times New Roman"/>
          <w:sz w:val="24"/>
        </w:rPr>
        <w:t>Subsequent to the meeting, the lenders decided to delay granting consent for a period of 3 weeks in order to allow MSEB, GOM and GOI additional time to cure their existing defaults.  On May 1, 2001 the international lenders sent a letter to GOI urging them to intervene to ensure the following matters, among others, are carried out within the 3 week period:</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2"/>
        </w:numPr>
        <w:tabs>
          <w:tab w:val="clear" w:pos="720"/>
          <w:tab w:val="left" w:pos="1800" w:leader="none"/>
          <w:tab w:val="left" w:pos="2160" w:leader="none"/>
        </w:tabs>
        <w:ind w:hanging="360" w:start="2520" w:end="0"/>
        <w:jc w:val="both"/>
        <w:rPr>
          <w:rFonts w:ascii="Times New Roman" w:hAnsi="Times New Roman" w:cs="Times New Roman"/>
          <w:sz w:val="24"/>
        </w:rPr>
      </w:pPr>
      <w:r>
        <w:rPr>
          <w:rFonts w:cs="Times New Roman" w:ascii="Times New Roman" w:hAnsi="Times New Roman"/>
          <w:sz w:val="24"/>
        </w:rPr>
        <w:t>All amounts owed by MSEB to be paid in full at the earliest</w:t>
      </w:r>
    </w:p>
    <w:p>
      <w:pPr>
        <w:pStyle w:val="Normal"/>
        <w:numPr>
          <w:ilvl w:val="0"/>
          <w:numId w:val="12"/>
        </w:numPr>
        <w:tabs>
          <w:tab w:val="clear" w:pos="720"/>
          <w:tab w:val="left" w:pos="1800" w:leader="none"/>
          <w:tab w:val="left" w:pos="2160" w:leader="none"/>
        </w:tabs>
        <w:ind w:hanging="360" w:start="2520" w:end="0"/>
        <w:jc w:val="both"/>
        <w:rPr>
          <w:rFonts w:ascii="Times New Roman" w:hAnsi="Times New Roman" w:cs="Times New Roman"/>
          <w:sz w:val="24"/>
        </w:rPr>
      </w:pPr>
      <w:r>
        <w:rPr>
          <w:rFonts w:cs="Times New Roman" w:ascii="Times New Roman" w:hAnsi="Times New Roman"/>
          <w:sz w:val="24"/>
        </w:rPr>
        <w:t>Escrow to be reinstated</w:t>
      </w:r>
    </w:p>
    <w:p>
      <w:pPr>
        <w:pStyle w:val="Normal"/>
        <w:numPr>
          <w:ilvl w:val="0"/>
          <w:numId w:val="12"/>
        </w:numPr>
        <w:tabs>
          <w:tab w:val="clear" w:pos="720"/>
          <w:tab w:val="left" w:pos="1800" w:leader="none"/>
          <w:tab w:val="left" w:pos="2160" w:leader="none"/>
        </w:tabs>
        <w:ind w:hanging="360" w:start="2520" w:end="0"/>
        <w:jc w:val="both"/>
        <w:rPr>
          <w:rFonts w:ascii="Times New Roman" w:hAnsi="Times New Roman" w:cs="Times New Roman"/>
          <w:sz w:val="24"/>
        </w:rPr>
      </w:pPr>
      <w:r>
        <w:rPr>
          <w:rFonts w:cs="Times New Roman" w:ascii="Times New Roman" w:hAnsi="Times New Roman"/>
          <w:sz w:val="24"/>
        </w:rPr>
        <w:t>L/C to be enhanced</w:t>
      </w:r>
    </w:p>
    <w:p>
      <w:pPr>
        <w:pStyle w:val="Normal"/>
        <w:numPr>
          <w:ilvl w:val="0"/>
          <w:numId w:val="12"/>
        </w:numPr>
        <w:tabs>
          <w:tab w:val="clear" w:pos="720"/>
          <w:tab w:val="left" w:pos="1800" w:leader="none"/>
          <w:tab w:val="left" w:pos="2160" w:leader="none"/>
        </w:tabs>
        <w:ind w:hanging="360" w:start="2520" w:end="0"/>
        <w:jc w:val="both"/>
        <w:rPr>
          <w:rFonts w:ascii="Times New Roman" w:hAnsi="Times New Roman" w:cs="Times New Roman"/>
          <w:sz w:val="24"/>
        </w:rPr>
      </w:pPr>
      <w:r>
        <w:rPr>
          <w:rFonts w:cs="Times New Roman" w:ascii="Times New Roman" w:hAnsi="Times New Roman"/>
          <w:sz w:val="24"/>
        </w:rPr>
        <w:t>Governmental agencies not to impede the operations or construction of the project.</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Heading5"/>
        <w:ind w:hanging="0" w:start="1080" w:end="0"/>
        <w:rPr>
          <w:b w:val="false"/>
          <w:bCs w:val="false"/>
          <w:sz w:val="24"/>
          <w:u w:val="none"/>
        </w:rPr>
      </w:pPr>
      <w:r>
        <w:rPr>
          <w:b w:val="false"/>
          <w:bCs w:val="false"/>
          <w:sz w:val="24"/>
          <w:u w:val="none"/>
        </w:rPr>
        <w:t>The Indian lenders sent a letter dated April 27, 2001 with substantially similar language and conditions to the GOI.</w:t>
      </w:r>
    </w:p>
    <w:p>
      <w:pPr>
        <w:pStyle w:val="Heading5"/>
        <w:ind w:hanging="0" w:start="0"/>
        <w:rPr>
          <w:b w:val="false"/>
          <w:bCs w:val="false"/>
          <w:sz w:val="24"/>
          <w:u w:val="none"/>
        </w:rPr>
      </w:pPr>
      <w:r>
        <w:rPr>
          <w:b w:val="false"/>
          <w:bCs w:val="false"/>
          <w:sz w:val="24"/>
          <w:u w:val="none"/>
        </w:rPr>
      </w:r>
    </w:p>
    <w:p>
      <w:pPr>
        <w:pStyle w:val="Heading5"/>
        <w:tabs>
          <w:tab w:val="left" w:pos="720" w:leader="none"/>
          <w:tab w:val="left" w:pos="1080" w:leader="none"/>
          <w:tab w:val="left" w:pos="1440" w:leader="none"/>
          <w:tab w:val="left" w:pos="1800" w:leader="none"/>
          <w:tab w:val="left" w:pos="2160" w:leader="none"/>
          <w:tab w:val="left" w:pos="5106" w:leader="none"/>
          <w:tab w:val="left" w:pos="7254" w:leader="none"/>
        </w:tabs>
        <w:ind w:hanging="0" w:start="720" w:end="0"/>
        <w:rPr>
          <w:b w:val="false"/>
          <w:bCs w:val="false"/>
          <w:sz w:val="24"/>
          <w:u w:val="none"/>
        </w:rPr>
      </w:pPr>
      <w:r>
        <w:rPr>
          <w:b w:val="false"/>
          <w:bCs w:val="false"/>
          <w:sz w:val="24"/>
          <w:u w:val="none"/>
        </w:rPr>
        <w:t>C.</w:t>
        <w:tab/>
        <w:t>Board Meeting</w:t>
      </w:r>
    </w:p>
    <w:p>
      <w:pPr>
        <w:pStyle w:val="Normal"/>
        <w:jc w:val="both"/>
        <w:rPr>
          <w:rFonts w:ascii="Times New Roman" w:hAnsi="Times New Roman" w:cs="Times New Roman"/>
          <w:b/>
          <w:bCs/>
          <w:sz w:val="24"/>
          <w:u w:val="single"/>
        </w:rPr>
      </w:pPr>
      <w:r>
        <w:rPr>
          <w:rFonts w:cs="Times New Roman" w:ascii="Times New Roman" w:hAnsi="Times New Roman"/>
          <w:b/>
          <w:bCs/>
          <w:sz w:val="24"/>
          <w:u w:val="single"/>
        </w:rPr>
      </w:r>
    </w:p>
    <w:p>
      <w:pPr>
        <w:pStyle w:val="Normal"/>
        <w:ind w:start="1080" w:end="0"/>
        <w:jc w:val="both"/>
        <w:rPr>
          <w:rFonts w:ascii="Times New Roman" w:hAnsi="Times New Roman" w:cs="Times New Roman"/>
          <w:sz w:val="24"/>
        </w:rPr>
      </w:pPr>
      <w:r>
        <w:rPr>
          <w:rFonts w:cs="Times New Roman" w:ascii="Times New Roman" w:hAnsi="Times New Roman"/>
          <w:sz w:val="24"/>
        </w:rPr>
        <w:t>On April 25, 2001 a meeting of the Board of Directors was held in London.  During this meeting the board passed a resolution authorizing the company to issue PTN and Transfer Notices, upon the occurrence of events giving rise to DPC’s right to serve such a PTN as determined by the Company and the Managing Director and/or the President.</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s>
        <w:ind w:start="720" w:end="0"/>
        <w:jc w:val="both"/>
        <w:rPr>
          <w:rFonts w:ascii="Times New Roman" w:hAnsi="Times New Roman" w:cs="Times New Roman"/>
          <w:sz w:val="24"/>
        </w:rPr>
      </w:pPr>
      <w:r>
        <w:rPr>
          <w:rFonts w:cs="Times New Roman" w:ascii="Times New Roman" w:hAnsi="Times New Roman"/>
          <w:sz w:val="24"/>
        </w:rPr>
        <w:t>D.</w:t>
        <w:tab/>
        <w:t>GOM Re-negotiation meeting with DPC</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BodyText3"/>
        <w:tabs>
          <w:tab w:val="clear" w:pos="1344"/>
          <w:tab w:val="left" w:pos="1440" w:leader="none"/>
          <w:tab w:val="left" w:pos="1800" w:leader="none"/>
          <w:tab w:val="left" w:pos="2160" w:leader="none"/>
          <w:tab w:val="left" w:pos="5106" w:leader="none"/>
          <w:tab w:val="left" w:pos="7254" w:leader="none"/>
          <w:tab w:val="left" w:pos="10080" w:leader="none"/>
        </w:tabs>
        <w:ind w:start="1080" w:end="-306"/>
        <w:rPr>
          <w:sz w:val="24"/>
        </w:rPr>
      </w:pPr>
      <w:r>
        <w:rPr>
          <w:sz w:val="24"/>
        </w:rPr>
        <w:t xml:space="preserve">On Friday, May 11, 2001, DPC attended a meeting with the committee formed by the GOM to re-negotiate the PPA, which is comprised principally with the same members of the Godbole committee. The representatives from GOM, MSEB, and DPC attended the meeting, though the GOI representative did not attend. The chairman of the committee, Madhav Godbole, blamed DPC as the developer for the current problems faced by MSEB for the project. </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keepLines/>
        <w:ind w:end="-540"/>
        <w:rPr>
          <w:rFonts w:ascii="Times New Roman" w:hAnsi="Times New Roman" w:cs="Times New Roman"/>
          <w:b/>
          <w:sz w:val="24"/>
        </w:rPr>
      </w:pPr>
      <w:r>
        <w:rPr>
          <w:rFonts w:cs="Times New Roman" w:ascii="Times New Roman" w:hAnsi="Times New Roman"/>
          <w:sz w:val="24"/>
        </w:rPr>
        <w:t>VII.</w:t>
        <w:tab/>
      </w:r>
      <w:r>
        <w:rPr>
          <w:rFonts w:cs="Times New Roman" w:ascii="Times New Roman" w:hAnsi="Times New Roman"/>
          <w:bCs/>
          <w:sz w:val="24"/>
        </w:rPr>
        <w:t>Puerto Rico</w:t>
      </w:r>
      <w:r>
        <w:rPr>
          <w:rFonts w:cs="Times New Roman" w:ascii="Times New Roman" w:hAnsi="Times New Roman"/>
          <w:b/>
          <w:sz w:val="24"/>
        </w:rPr>
        <w:t xml:space="preserve"> </w:t>
      </w:r>
      <w:r>
        <w:rPr>
          <w:rFonts w:cs="Times New Roman" w:ascii="Times New Roman" w:hAnsi="Times New Roman"/>
          <w:sz w:val="24"/>
        </w:rPr>
        <w:t>(Coralina Rivera)</w:t>
      </w:r>
    </w:p>
    <w:p>
      <w:pPr>
        <w:pStyle w:val="Heading7"/>
        <w:ind w:hanging="0" w:start="0" w:end="-540"/>
        <w:rPr>
          <w:rFonts w:ascii="Times New Roman" w:hAnsi="Times New Roman" w:cs="Times New Roman"/>
          <w:b w:val="false"/>
          <w:sz w:val="24"/>
        </w:rPr>
      </w:pPr>
      <w:r>
        <w:rPr>
          <w:rFonts w:cs="Times New Roman" w:ascii="Times New Roman" w:hAnsi="Times New Roman"/>
          <w:b w:val="false"/>
          <w:sz w:val="24"/>
        </w:rPr>
      </w:r>
    </w:p>
    <w:p>
      <w:pPr>
        <w:pStyle w:val="Heading7"/>
        <w:tabs>
          <w:tab w:val="clear" w:pos="720"/>
          <w:tab w:val="left" w:pos="1080" w:leader="none"/>
          <w:tab w:val="left" w:pos="1440" w:leader="none"/>
        </w:tabs>
        <w:ind w:hanging="0" w:start="720" w:end="-540"/>
        <w:rPr>
          <w:rFonts w:ascii="Times New Roman" w:hAnsi="Times New Roman" w:cs="Times New Roman"/>
          <w:b w:val="false"/>
          <w:bCs/>
          <w:i w:val="false"/>
          <w:i w:val="false"/>
          <w:iCs/>
          <w:sz w:val="24"/>
          <w:u w:val="none"/>
        </w:rPr>
      </w:pPr>
      <w:r>
        <w:rPr>
          <w:rFonts w:cs="Times New Roman" w:ascii="Times New Roman" w:hAnsi="Times New Roman"/>
          <w:b w:val="false"/>
          <w:bCs/>
          <w:i w:val="false"/>
          <w:iCs/>
          <w:sz w:val="24"/>
          <w:u w:val="none"/>
        </w:rPr>
        <w:t>A.</w:t>
        <w:tab/>
        <w:t xml:space="preserve">EcoElectrica 507 MW CC LNG Plant and 160k cubic meters LNG storage tank </w:t>
      </w:r>
    </w:p>
    <w:p>
      <w:pPr>
        <w:pStyle w:val="Heading2"/>
        <w:ind w:end="-540"/>
        <w:rPr>
          <w:rFonts w:ascii="Times New Roman" w:hAnsi="Times New Roman" w:cs="Times New Roman"/>
          <w:b/>
          <w:bCs/>
          <w:i/>
          <w:i/>
          <w:iCs/>
          <w:sz w:val="24"/>
          <w:u w:val="none"/>
        </w:rPr>
      </w:pPr>
      <w:r>
        <w:rPr>
          <w:rFonts w:cs="Times New Roman"/>
          <w:b/>
          <w:bCs/>
          <w:i/>
          <w:iCs/>
          <w:sz w:val="24"/>
          <w:u w:val="none"/>
        </w:rPr>
      </w:r>
    </w:p>
    <w:p>
      <w:pPr>
        <w:pStyle w:val="Normal"/>
        <w:tabs>
          <w:tab w:val="clear" w:pos="720"/>
          <w:tab w:val="left" w:pos="1440" w:leader="none"/>
          <w:tab w:val="left" w:pos="1800" w:leader="none"/>
          <w:tab w:val="left" w:pos="2160" w:leader="none"/>
        </w:tabs>
        <w:ind w:start="1080" w:end="0"/>
        <w:rPr>
          <w:rFonts w:ascii="Times New Roman" w:hAnsi="Times New Roman" w:cs="Times New Roman"/>
          <w:sz w:val="24"/>
        </w:rPr>
      </w:pPr>
      <w:r>
        <w:rPr>
          <w:rFonts w:cs="Times New Roman" w:ascii="Times New Roman" w:hAnsi="Times New Roman"/>
          <w:sz w:val="24"/>
        </w:rPr>
        <w:t>Siemens/Westinghouse (“ SW”)  warranty issues (including ramifications with lenders and underwriters).  Ongoing negotiations with insurance adjusters.  Expected net BI recovery is $20.4MM (out of net claim of $24.6 MM).</w:t>
      </w:r>
    </w:p>
    <w:p>
      <w:pPr>
        <w:pStyle w:val="Normal"/>
        <w:ind w:start="1440" w:end="0"/>
        <w:rPr>
          <w:rFonts w:ascii="Times New Roman" w:hAnsi="Times New Roman" w:cs="Times New Roman"/>
          <w:sz w:val="24"/>
        </w:rPr>
      </w:pPr>
      <w:r>
        <w:rPr>
          <w:rFonts w:cs="Times New Roman" w:ascii="Times New Roman" w:hAnsi="Times New Roman"/>
          <w:sz w:val="24"/>
        </w:rPr>
      </w:r>
    </w:p>
    <w:p>
      <w:pPr>
        <w:pStyle w:val="BodyTextIndent3"/>
        <w:ind w:hanging="0" w:start="1080" w:end="0"/>
        <w:rPr>
          <w:sz w:val="24"/>
        </w:rPr>
      </w:pPr>
      <w:r>
        <w:rPr>
          <w:sz w:val="24"/>
        </w:rPr>
        <w:t>PREPA (buyer under the PPA)  payment issues.  Eco still negotiating  proposal with PREPA  for the use of a CT-1 rotor to cover the “unscheduled” outage which started on 5/14/01(45-90 days outage).</w:t>
      </w:r>
    </w:p>
    <w:p>
      <w:pPr>
        <w:pStyle w:val="BodyTextIndent3"/>
        <w:ind w:hanging="0" w:start="1440" w:end="0"/>
        <w:rPr>
          <w:sz w:val="24"/>
        </w:rPr>
      </w:pPr>
      <w:r>
        <w:rPr>
          <w:sz w:val="24"/>
        </w:rPr>
      </w:r>
    </w:p>
    <w:p>
      <w:pPr>
        <w:pStyle w:val="BodyTextIndent3"/>
        <w:rPr>
          <w:sz w:val="24"/>
        </w:rPr>
      </w:pPr>
      <w:r>
        <w:rPr>
          <w:sz w:val="24"/>
        </w:rPr>
        <w:t>Sell down.  Tractabel in the process of signing a CA with Enron.</w:t>
      </w:r>
    </w:p>
    <w:p>
      <w:pPr>
        <w:pStyle w:val="Normal"/>
        <w:rPr>
          <w:rFonts w:ascii="Times New Roman" w:hAnsi="Times New Roman" w:cs="Times New Roman"/>
          <w:b/>
          <w:bCs/>
          <w:sz w:val="24"/>
        </w:rPr>
      </w:pPr>
      <w:r>
        <w:rPr>
          <w:rFonts w:cs="Times New Roman" w:ascii="Times New Roman" w:hAnsi="Times New Roman"/>
          <w:b/>
          <w:bCs/>
          <w:sz w:val="24"/>
        </w:rPr>
      </w:r>
    </w:p>
    <w:p>
      <w:pPr>
        <w:pStyle w:val="Normal"/>
        <w:tabs>
          <w:tab w:val="clear" w:pos="720"/>
          <w:tab w:val="left" w:pos="1080" w:leader="none"/>
          <w:tab w:val="left" w:pos="1440" w:leader="none"/>
          <w:tab w:val="left" w:pos="1800" w:leader="none"/>
          <w:tab w:val="left" w:pos="2160" w:leader="none"/>
        </w:tabs>
        <w:ind w:start="720" w:end="-540"/>
        <w:rPr>
          <w:rFonts w:ascii="Times New Roman" w:hAnsi="Times New Roman" w:cs="Times New Roman"/>
          <w:sz w:val="24"/>
        </w:rPr>
      </w:pPr>
      <w:r>
        <w:rPr>
          <w:rFonts w:cs="Times New Roman" w:ascii="Times New Roman" w:hAnsi="Times New Roman"/>
          <w:sz w:val="24"/>
        </w:rPr>
        <w:t>B.</w:t>
        <w:tab/>
        <w:t>ProCaribe:</w:t>
      </w:r>
    </w:p>
    <w:p>
      <w:pPr>
        <w:pStyle w:val="Normal"/>
        <w:tabs>
          <w:tab w:val="clear" w:pos="720"/>
          <w:tab w:val="left" w:pos="1080" w:leader="none"/>
          <w:tab w:val="left" w:pos="1440" w:leader="none"/>
          <w:tab w:val="left" w:pos="1800" w:leader="none"/>
        </w:tabs>
        <w:ind w:start="720" w:end="-540"/>
        <w:rPr>
          <w:rFonts w:ascii="Times New Roman" w:hAnsi="Times New Roman" w:cs="Times New Roman"/>
          <w:sz w:val="24"/>
        </w:rPr>
      </w:pPr>
      <w:r>
        <w:rPr>
          <w:rFonts w:cs="Times New Roman" w:ascii="Times New Roman" w:hAnsi="Times New Roman"/>
          <w:sz w:val="24"/>
        </w:rPr>
        <w:tab/>
        <w:t>Propane storage terminal (22,000 TS)U.  No significant legal issues.</w:t>
      </w:r>
    </w:p>
    <w:p>
      <w:pPr>
        <w:pStyle w:val="Normal"/>
        <w:ind w:start="720" w:end="-540"/>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1440" w:leader="none"/>
          <w:tab w:val="left" w:pos="1800" w:leader="none"/>
        </w:tabs>
        <w:ind w:start="720" w:end="-540"/>
        <w:rPr>
          <w:rFonts w:ascii="Times New Roman" w:hAnsi="Times New Roman" w:cs="Times New Roman"/>
          <w:sz w:val="24"/>
        </w:rPr>
      </w:pPr>
      <w:r>
        <w:rPr>
          <w:rFonts w:cs="Times New Roman" w:ascii="Times New Roman" w:hAnsi="Times New Roman"/>
          <w:sz w:val="24"/>
        </w:rPr>
        <w:t>C.</w:t>
        <w:tab/>
        <w:t>Progasco:</w:t>
      </w:r>
    </w:p>
    <w:p>
      <w:pPr>
        <w:pStyle w:val="Normal"/>
        <w:tabs>
          <w:tab w:val="clear" w:pos="720"/>
          <w:tab w:val="left" w:pos="1080" w:leader="none"/>
          <w:tab w:val="left" w:pos="1440" w:leader="none"/>
          <w:tab w:val="left" w:pos="1800" w:leader="none"/>
        </w:tabs>
        <w:ind w:start="720" w:end="-540"/>
        <w:rPr>
          <w:rFonts w:ascii="Times New Roman" w:hAnsi="Times New Roman" w:cs="Times New Roman"/>
          <w:sz w:val="24"/>
        </w:rPr>
      </w:pPr>
      <w:r>
        <w:rPr>
          <w:rFonts w:cs="Times New Roman" w:ascii="Times New Roman" w:hAnsi="Times New Roman"/>
          <w:sz w:val="24"/>
        </w:rPr>
        <w:tab/>
        <w:t>LPG distribution.</w:t>
      </w:r>
    </w:p>
    <w:p>
      <w:pPr>
        <w:pStyle w:val="Normal"/>
        <w:ind w:firstLine="720" w:end="-540"/>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080" w:leader="none"/>
          <w:tab w:val="left" w:pos="1440" w:leader="none"/>
          <w:tab w:val="left" w:pos="1800" w:leader="none"/>
          <w:tab w:val="left" w:pos="2160" w:leader="none"/>
        </w:tabs>
        <w:ind w:hanging="360" w:start="1080" w:end="0"/>
        <w:rPr>
          <w:rFonts w:ascii="Times New Roman" w:hAnsi="Times New Roman" w:cs="Times New Roman"/>
          <w:sz w:val="24"/>
        </w:rPr>
      </w:pPr>
      <w:r>
        <w:rPr>
          <w:rFonts w:cs="Times New Roman" w:ascii="Times New Roman" w:hAnsi="Times New Roman"/>
          <w:sz w:val="24"/>
        </w:rPr>
        <w:tab/>
        <w:t>Sale of business.  (Buyer - Tropigas, a local competitor).  ($14.4MM+ 10% non-voting interest in Buyer’s new entity).  Closing of Purchase and Sale Agreement  expected on 5/21/01.</w:t>
      </w:r>
    </w:p>
    <w:p>
      <w:pPr>
        <w:pStyle w:val="Heading1"/>
        <w:ind w:end="-540"/>
        <w:rPr>
          <w:rFonts w:ascii="Times New Roman" w:hAnsi="Times New Roman" w:cs="Times New Roman"/>
          <w:sz w:val="24"/>
        </w:rPr>
      </w:pPr>
      <w:r>
        <w:rPr>
          <w:rFonts w:cs="Times New Roman"/>
          <w:sz w:val="24"/>
        </w:rPr>
      </w:r>
    </w:p>
    <w:p>
      <w:pPr>
        <w:pStyle w:val="Heading1"/>
        <w:numPr>
          <w:ilvl w:val="0"/>
          <w:numId w:val="17"/>
        </w:numPr>
        <w:ind w:hanging="720" w:start="720" w:end="-540"/>
        <w:rPr>
          <w:b w:val="false"/>
          <w:sz w:val="24"/>
          <w:u w:val="none"/>
        </w:rPr>
      </w:pPr>
      <w:r>
        <w:rPr>
          <w:b w:val="false"/>
          <w:sz w:val="24"/>
          <w:u w:val="none"/>
        </w:rPr>
        <w:t>Nicaragua (Francisco Pinto-Leite)</w:t>
      </w:r>
    </w:p>
    <w:p>
      <w:pPr>
        <w:pStyle w:val="Heading8"/>
        <w:ind w:end="-540"/>
        <w:rPr>
          <w:u w:val="none"/>
        </w:rPr>
      </w:pPr>
      <w:r>
        <w:rPr>
          <w:u w:val="none"/>
        </w:rPr>
        <w:t>Corinto 70MW Barge-mounted Plant</w:t>
      </w:r>
    </w:p>
    <w:p>
      <w:pPr>
        <w:pStyle w:val="Normal"/>
        <w:ind w:start="720" w:end="-540"/>
        <w:rPr>
          <w:rFonts w:ascii="Times New Roman" w:hAnsi="Times New Roman" w:cs="Times New Roman"/>
          <w:sz w:val="24"/>
          <w:u w:val="none"/>
        </w:rPr>
      </w:pPr>
      <w:r>
        <w:rPr>
          <w:rFonts w:cs="Times New Roman" w:ascii="Times New Roman" w:hAnsi="Times New Roman"/>
          <w:sz w:val="24"/>
          <w:u w:val="none"/>
        </w:rPr>
      </w:r>
    </w:p>
    <w:p>
      <w:pPr>
        <w:pStyle w:val="Normal"/>
        <w:ind w:start="720" w:end="-540"/>
        <w:rPr>
          <w:rFonts w:ascii="Times New Roman" w:hAnsi="Times New Roman" w:cs="Times New Roman"/>
          <w:sz w:val="24"/>
        </w:rPr>
      </w:pPr>
      <w:r>
        <w:rPr>
          <w:rFonts w:cs="Times New Roman" w:ascii="Times New Roman" w:hAnsi="Times New Roman"/>
          <w:sz w:val="24"/>
        </w:rPr>
        <w:t>No significant legal issues.</w:t>
      </w:r>
    </w:p>
    <w:p>
      <w:pPr>
        <w:pStyle w:val="Heading1"/>
        <w:tabs>
          <w:tab w:val="left" w:pos="720" w:leader="none"/>
          <w:tab w:val="left" w:pos="1080" w:leader="none"/>
          <w:tab w:val="left" w:pos="1440" w:leader="none"/>
          <w:tab w:val="left" w:pos="5106" w:leader="none"/>
          <w:tab w:val="left" w:pos="7254" w:leader="none"/>
        </w:tabs>
        <w:ind w:start="0" w:end="-540"/>
        <w:rPr>
          <w:rFonts w:ascii="Times New Roman" w:hAnsi="Times New Roman" w:cs="Times New Roman"/>
          <w:sz w:val="24"/>
          <w:u w:val="none"/>
        </w:rPr>
      </w:pPr>
      <w:r>
        <w:rPr>
          <w:rFonts w:cs="Times New Roman"/>
          <w:sz w:val="24"/>
          <w:u w:val="none"/>
        </w:rPr>
      </w:r>
    </w:p>
    <w:p>
      <w:pPr>
        <w:pStyle w:val="Heading1"/>
        <w:tabs>
          <w:tab w:val="left" w:pos="720" w:leader="none"/>
          <w:tab w:val="left" w:pos="1080" w:leader="none"/>
          <w:tab w:val="left" w:pos="1440" w:leader="none"/>
          <w:tab w:val="left" w:pos="1800" w:leader="none"/>
          <w:tab w:val="left" w:pos="5106" w:leader="none"/>
          <w:tab w:val="left" w:pos="7254" w:leader="none"/>
        </w:tabs>
        <w:ind w:start="0" w:end="-540"/>
        <w:rPr>
          <w:b w:val="false"/>
          <w:bCs/>
          <w:sz w:val="24"/>
          <w:u w:val="none"/>
        </w:rPr>
      </w:pPr>
      <w:r>
        <w:rPr>
          <w:b w:val="false"/>
          <w:bCs/>
          <w:sz w:val="24"/>
          <w:u w:val="none"/>
        </w:rPr>
        <w:t>IX.</w:t>
        <w:tab/>
        <w:t>Guatemala (Francisco Pinto-Leite)</w:t>
      </w:r>
    </w:p>
    <w:p>
      <w:pPr>
        <w:pStyle w:val="Heading1"/>
        <w:ind w:end="-540"/>
        <w:rPr>
          <w:b w:val="false"/>
          <w:bCs/>
          <w:sz w:val="24"/>
        </w:rPr>
      </w:pPr>
      <w:r>
        <w:rPr>
          <w:b w:val="false"/>
          <w:bCs/>
          <w:sz w:val="24"/>
          <w:u w:val="none"/>
        </w:rPr>
        <w:t>PQPLLC 234MW Barge-mounted Plant</w:t>
      </w:r>
    </w:p>
    <w:p>
      <w:pPr>
        <w:pStyle w:val="Normal"/>
        <w:ind w:end="-540"/>
        <w:jc w:val="center"/>
        <w:rPr>
          <w:rFonts w:ascii="Times New Roman" w:hAnsi="Times New Roman" w:cs="Times New Roman"/>
          <w:b/>
          <w:bCs/>
          <w:sz w:val="24"/>
        </w:rPr>
      </w:pPr>
      <w:r>
        <w:rPr>
          <w:rFonts w:cs="Times New Roman" w:ascii="Times New Roman" w:hAnsi="Times New Roman"/>
          <w:b/>
          <w:bCs/>
          <w:sz w:val="24"/>
        </w:rPr>
      </w:r>
    </w:p>
    <w:p>
      <w:pPr>
        <w:pStyle w:val="Normal"/>
        <w:ind w:start="720" w:end="-540"/>
        <w:rPr>
          <w:rFonts w:ascii="Times New Roman" w:hAnsi="Times New Roman" w:cs="Times New Roman"/>
          <w:sz w:val="24"/>
        </w:rPr>
      </w:pPr>
      <w:r>
        <w:rPr>
          <w:rFonts w:cs="Times New Roman" w:ascii="Times New Roman" w:hAnsi="Times New Roman"/>
          <w:sz w:val="24"/>
        </w:rPr>
        <w:t>Documentation is being drafted and discussions have been initiated to recover amounts deposited in Debt Service Reserve Account and to distribute same to Enron ($10MM). Preliminary Agreement reached with construction company (MAN) regarding reimbursement for direct damages and lost profits due to equipment failure (about $2.6MM).  Term Sheet signed with Caribbean Basin Power Fund for the sale of a Membership Interest in the LLC.  Enron will be selling approximately 7.5% for $7.5MM.  Closing expected in about one month.</w:t>
      </w:r>
    </w:p>
    <w:p>
      <w:pPr>
        <w:pStyle w:val="Normal"/>
        <w:ind w:start="720" w:end="-540"/>
        <w:rPr>
          <w:rFonts w:ascii="Times New Roman" w:hAnsi="Times New Roman" w:cs="Times New Roman"/>
          <w:sz w:val="24"/>
        </w:rPr>
      </w:pPr>
      <w:r>
        <w:rPr>
          <w:rFonts w:cs="Times New Roman" w:ascii="Times New Roman" w:hAnsi="Times New Roman"/>
          <w:sz w:val="24"/>
        </w:rPr>
        <w:t>The project is challenging Guatemala’s export restriction to El Salvador (El Salvador absorbs a significant portion of the merchant capacity).</w:t>
      </w:r>
    </w:p>
    <w:p>
      <w:pPr>
        <w:pStyle w:val="Normal"/>
        <w:ind w:start="720" w:end="-540"/>
        <w:rPr>
          <w:rFonts w:ascii="Times New Roman" w:hAnsi="Times New Roman" w:cs="Times New Roman"/>
          <w:sz w:val="24"/>
        </w:rPr>
      </w:pPr>
      <w:r>
        <w:rPr>
          <w:rFonts w:cs="Times New Roman" w:ascii="Times New Roman" w:hAnsi="Times New Roman"/>
          <w:sz w:val="24"/>
        </w:rPr>
      </w:r>
    </w:p>
    <w:p>
      <w:pPr>
        <w:pStyle w:val="Heading1"/>
        <w:keepLines/>
        <w:tabs>
          <w:tab w:val="left" w:pos="720" w:leader="none"/>
          <w:tab w:val="left" w:pos="1080" w:leader="none"/>
          <w:tab w:val="left" w:pos="1440" w:leader="none"/>
          <w:tab w:val="left" w:pos="1710" w:leader="none"/>
          <w:tab w:val="left" w:pos="5106" w:leader="none"/>
          <w:tab w:val="left" w:pos="7254" w:leader="none"/>
        </w:tabs>
        <w:ind w:start="0" w:end="-540"/>
        <w:rPr>
          <w:b w:val="false"/>
          <w:bCs/>
          <w:sz w:val="24"/>
          <w:u w:val="none"/>
        </w:rPr>
      </w:pPr>
      <w:r>
        <w:rPr>
          <w:b w:val="false"/>
          <w:bCs/>
          <w:sz w:val="24"/>
          <w:u w:val="none"/>
        </w:rPr>
        <w:t>X.</w:t>
        <w:tab/>
        <w:t>Panama (Francisco Pinto-Leite)</w:t>
      </w:r>
    </w:p>
    <w:p>
      <w:pPr>
        <w:pStyle w:val="Normal"/>
        <w:keepNext w:val="true"/>
        <w:keepLines/>
        <w:ind w:firstLine="720" w:end="-540"/>
        <w:rPr>
          <w:rFonts w:ascii="Times New Roman" w:hAnsi="Times New Roman" w:cs="Times New Roman"/>
          <w:sz w:val="24"/>
        </w:rPr>
      </w:pPr>
      <w:r>
        <w:rPr>
          <w:rFonts w:cs="Times New Roman" w:ascii="Times New Roman" w:hAnsi="Times New Roman"/>
          <w:sz w:val="24"/>
        </w:rPr>
        <w:t>Combined cycle 330 MW power plant.</w:t>
      </w:r>
    </w:p>
    <w:p>
      <w:pPr>
        <w:pStyle w:val="Normal"/>
        <w:keepNext w:val="true"/>
        <w:keepLines/>
        <w:ind w:end="-540"/>
        <w:rPr>
          <w:rFonts w:ascii="Times New Roman" w:hAnsi="Times New Roman" w:cs="Times New Roman"/>
          <w:sz w:val="24"/>
        </w:rPr>
      </w:pPr>
      <w:r>
        <w:rPr>
          <w:rFonts w:cs="Times New Roman" w:ascii="Times New Roman" w:hAnsi="Times New Roman"/>
          <w:sz w:val="24"/>
        </w:rPr>
      </w:r>
    </w:p>
    <w:p>
      <w:pPr>
        <w:pStyle w:val="Normal"/>
        <w:keepNext w:val="true"/>
        <w:keepLines/>
        <w:ind w:start="720" w:end="-540"/>
        <w:rPr>
          <w:rFonts w:ascii="Times New Roman" w:hAnsi="Times New Roman" w:cs="Times New Roman"/>
          <w:sz w:val="24"/>
        </w:rPr>
      </w:pPr>
      <w:r>
        <w:rPr>
          <w:rFonts w:cs="Times New Roman" w:ascii="Times New Roman" w:hAnsi="Times New Roman"/>
          <w:sz w:val="24"/>
        </w:rPr>
        <w:t>The project has commenced legal action challenging resolutions by the regulator that directly impacted the PPA’s. An all-inclusive settlement is being negotiated with the government.  Parties are still apart on a number of issues.</w:t>
      </w:r>
    </w:p>
    <w:p>
      <w:pPr>
        <w:pStyle w:val="Normal"/>
        <w:ind w:start="720" w:end="-540"/>
        <w:rPr>
          <w:rFonts w:ascii="Times New Roman" w:hAnsi="Times New Roman" w:cs="Times New Roman"/>
          <w:sz w:val="24"/>
        </w:rPr>
      </w:pPr>
      <w:r>
        <w:rPr>
          <w:rFonts w:cs="Times New Roman" w:ascii="Times New Roman" w:hAnsi="Times New Roman"/>
          <w:sz w:val="24"/>
        </w:rPr>
      </w:r>
    </w:p>
    <w:p>
      <w:pPr>
        <w:pStyle w:val="Normal"/>
        <w:ind w:start="720" w:end="-540"/>
        <w:rPr>
          <w:rFonts w:ascii="Times New Roman" w:hAnsi="Times New Roman" w:cs="Times New Roman"/>
          <w:sz w:val="24"/>
        </w:rPr>
      </w:pPr>
      <w:r>
        <w:rPr>
          <w:rFonts w:cs="Times New Roman" w:ascii="Times New Roman" w:hAnsi="Times New Roman"/>
          <w:sz w:val="24"/>
        </w:rPr>
        <w:t xml:space="preserve">Three (3) insurance claims related to damages to Unit #6 from lightning on December 31, 2000 have been filed.  Dispute with insurance broker is possible. </w:t>
      </w:r>
    </w:p>
    <w:p>
      <w:pPr>
        <w:pStyle w:val="Normal"/>
        <w:ind w:start="360" w:end="-540"/>
        <w:rPr>
          <w:rFonts w:ascii="Times New Roman" w:hAnsi="Times New Roman" w:cs="Times New Roman"/>
          <w:sz w:val="24"/>
        </w:rPr>
      </w:pPr>
      <w:r>
        <w:rPr>
          <w:rFonts w:cs="Times New Roman" w:ascii="Times New Roman" w:hAnsi="Times New Roman"/>
          <w:sz w:val="24"/>
        </w:rPr>
      </w:r>
    </w:p>
    <w:p>
      <w:pPr>
        <w:pStyle w:val="Heading5"/>
        <w:ind w:hanging="0" w:start="0" w:end="-540"/>
        <w:rPr/>
      </w:pPr>
      <w:r>
        <w:rPr>
          <w:b w:val="false"/>
          <w:sz w:val="24"/>
          <w:u w:val="none"/>
        </w:rPr>
        <w:t>XI.</w:t>
      </w:r>
      <w:r>
        <w:rPr>
          <w:sz w:val="24"/>
          <w:u w:val="none"/>
        </w:rPr>
        <w:tab/>
      </w:r>
      <w:r>
        <w:rPr>
          <w:b w:val="false"/>
          <w:bCs w:val="false"/>
          <w:sz w:val="24"/>
          <w:u w:val="none"/>
        </w:rPr>
        <w:t>Venezuela</w:t>
      </w:r>
      <w:r>
        <w:rPr>
          <w:b w:val="false"/>
          <w:sz w:val="24"/>
          <w:u w:val="none"/>
        </w:rPr>
        <w:t xml:space="preserve"> (Miguel Mendoza)</w:t>
      </w:r>
    </w:p>
    <w:p>
      <w:pPr>
        <w:pStyle w:val="Normal"/>
        <w:tabs>
          <w:tab w:val="clear" w:pos="720"/>
          <w:tab w:val="left" w:pos="360" w:leader="none"/>
        </w:tabs>
        <w:ind w:end="-540"/>
        <w:rPr>
          <w:rFonts w:ascii="Times New Roman" w:hAnsi="Times New Roman" w:cs="Times New Roman"/>
          <w:sz w:val="24"/>
        </w:rPr>
      </w:pPr>
      <w:r>
        <w:rPr>
          <w:rFonts w:cs="Times New Roman" w:ascii="Times New Roman" w:hAnsi="Times New Roman"/>
          <w:sz w:val="24"/>
        </w:rPr>
        <w:tab/>
        <w:tab/>
        <w:t>A.</w:t>
        <w:tab/>
        <w:t>Accro</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end="-540"/>
        <w:rPr>
          <w:rFonts w:ascii="Times New Roman" w:hAnsi="Times New Roman" w:cs="Times New Roman"/>
          <w:sz w:val="24"/>
        </w:rPr>
      </w:pPr>
      <w:r>
        <w:rPr>
          <w:rFonts w:cs="Times New Roman" w:ascii="Times New Roman" w:hAnsi="Times New Roman"/>
          <w:sz w:val="24"/>
        </w:rPr>
        <w:tab/>
        <w:tab/>
        <w:t>No updates on this project.</w:t>
      </w:r>
    </w:p>
    <w:p>
      <w:pPr>
        <w:pStyle w:val="Normal"/>
        <w:ind w:end="-540"/>
        <w:rPr>
          <w:rFonts w:ascii="Times New Roman" w:hAnsi="Times New Roman" w:cs="Times New Roman"/>
          <w:sz w:val="24"/>
        </w:rPr>
      </w:pPr>
      <w:r>
        <w:rPr>
          <w:rFonts w:cs="Times New Roman" w:ascii="Times New Roman" w:hAnsi="Times New Roman"/>
          <w:sz w:val="24"/>
        </w:rPr>
      </w:r>
    </w:p>
    <w:p>
      <w:pPr>
        <w:pStyle w:val="Normal"/>
        <w:numPr>
          <w:ilvl w:val="0"/>
          <w:numId w:val="23"/>
        </w:numPr>
        <w:ind w:hanging="720" w:start="1440" w:end="-540"/>
        <w:rPr>
          <w:rFonts w:ascii="Times New Roman" w:hAnsi="Times New Roman" w:cs="Times New Roman"/>
          <w:sz w:val="24"/>
        </w:rPr>
      </w:pPr>
      <w:r>
        <w:rPr>
          <w:rFonts w:cs="Times New Roman" w:ascii="Times New Roman" w:hAnsi="Times New Roman"/>
          <w:sz w:val="24"/>
        </w:rPr>
        <w:t>Bachaquero</w:t>
      </w:r>
    </w:p>
    <w:p>
      <w:pPr>
        <w:pStyle w:val="Normal"/>
        <w:ind w:start="1440" w:end="-540"/>
        <w:rPr>
          <w:rFonts w:ascii="Times New Roman" w:hAnsi="Times New Roman" w:cs="Times New Roman"/>
          <w:sz w:val="24"/>
        </w:rPr>
      </w:pPr>
      <w:r>
        <w:rPr>
          <w:rFonts w:cs="Times New Roman" w:ascii="Times New Roman" w:hAnsi="Times New Roman"/>
          <w:sz w:val="24"/>
        </w:rPr>
        <w:t>Gas Compression Project in Lake Maracaibo</w:t>
      </w:r>
    </w:p>
    <w:p>
      <w:pPr>
        <w:pStyle w:val="Normal"/>
        <w:ind w:end="-540"/>
        <w:rPr>
          <w:rFonts w:ascii="Times New Roman" w:hAnsi="Times New Roman" w:cs="Times New Roman"/>
          <w:sz w:val="24"/>
        </w:rPr>
      </w:pPr>
      <w:r>
        <w:rPr>
          <w:rFonts w:cs="Times New Roman" w:ascii="Times New Roman" w:hAnsi="Times New Roman"/>
          <w:sz w:val="24"/>
        </w:rPr>
      </w:r>
    </w:p>
    <w:p>
      <w:pPr>
        <w:pStyle w:val="BlockText"/>
        <w:rPr>
          <w:sz w:val="24"/>
        </w:rPr>
      </w:pPr>
      <w:r>
        <w:rPr>
          <w:sz w:val="24"/>
        </w:rPr>
        <w:t>Sent final version of SPA to Hanover. Hanover agreed to a gross up to cover any additional tax consequences that may be generated for Enron. Sale expected to close before end of second quarter.</w:t>
      </w:r>
    </w:p>
    <w:p>
      <w:pPr>
        <w:pStyle w:val="BlockText"/>
        <w:rPr>
          <w:sz w:val="24"/>
        </w:rPr>
      </w:pPr>
      <w:r>
        <w:rPr>
          <w:sz w:val="24"/>
        </w:rPr>
      </w:r>
    </w:p>
    <w:p>
      <w:pPr>
        <w:pStyle w:val="Normal"/>
        <w:numPr>
          <w:ilvl w:val="0"/>
          <w:numId w:val="23"/>
        </w:numPr>
        <w:ind w:hanging="720" w:start="1440" w:end="-540"/>
        <w:rPr>
          <w:rFonts w:ascii="Times New Roman" w:hAnsi="Times New Roman" w:cs="Times New Roman"/>
          <w:sz w:val="24"/>
        </w:rPr>
      </w:pPr>
      <w:r>
        <w:rPr>
          <w:rFonts w:cs="Times New Roman" w:ascii="Times New Roman" w:hAnsi="Times New Roman"/>
          <w:sz w:val="24"/>
        </w:rPr>
        <w:t>Calife</w:t>
      </w:r>
    </w:p>
    <w:p>
      <w:pPr>
        <w:pStyle w:val="Normal"/>
        <w:ind w:start="1440" w:end="-540"/>
        <w:rPr>
          <w:rFonts w:ascii="Times New Roman" w:hAnsi="Times New Roman" w:cs="Times New Roman"/>
          <w:sz w:val="24"/>
        </w:rPr>
      </w:pPr>
      <w:r>
        <w:rPr>
          <w:rFonts w:cs="Times New Roman" w:ascii="Times New Roman" w:hAnsi="Times New Roman"/>
          <w:sz w:val="24"/>
        </w:rPr>
        <w:t>Electric distribution in Central Venezuela (Carabobo State)</w:t>
      </w:r>
    </w:p>
    <w:p>
      <w:pPr>
        <w:pStyle w:val="Normal"/>
        <w:ind w:end="-540"/>
        <w:rPr>
          <w:rFonts w:ascii="Times New Roman" w:hAnsi="Times New Roman" w:cs="Times New Roman"/>
          <w:sz w:val="24"/>
        </w:rPr>
      </w:pPr>
      <w:r>
        <w:rPr>
          <w:rFonts w:cs="Times New Roman" w:ascii="Times New Roman" w:hAnsi="Times New Roman"/>
          <w:sz w:val="24"/>
        </w:rPr>
      </w:r>
    </w:p>
    <w:p>
      <w:pPr>
        <w:pStyle w:val="BlockText"/>
        <w:rPr>
          <w:sz w:val="24"/>
        </w:rPr>
      </w:pPr>
      <w:r>
        <w:rPr>
          <w:sz w:val="24"/>
        </w:rPr>
        <w:t>Sent revised version of lease agreement to Cadafe (governmental utility). Under new version Calife will operate and maintain the 2 substations.</w:t>
      </w:r>
    </w:p>
    <w:p>
      <w:pPr>
        <w:pStyle w:val="Normal"/>
        <w:ind w:start="1440" w:end="-540"/>
        <w:rPr>
          <w:rFonts w:ascii="Times New Roman" w:hAnsi="Times New Roman" w:cs="Times New Roman"/>
          <w:sz w:val="24"/>
        </w:rPr>
      </w:pPr>
      <w:r>
        <w:rPr>
          <w:rFonts w:cs="Times New Roman" w:ascii="Times New Roman" w:hAnsi="Times New Roman"/>
          <w:sz w:val="24"/>
        </w:rPr>
      </w:r>
    </w:p>
    <w:p>
      <w:pPr>
        <w:pStyle w:val="Normal"/>
        <w:ind w:start="720" w:end="-540"/>
        <w:rPr>
          <w:rFonts w:ascii="Times New Roman" w:hAnsi="Times New Roman" w:cs="Times New Roman"/>
          <w:sz w:val="24"/>
        </w:rPr>
      </w:pPr>
      <w:r>
        <w:rPr>
          <w:rFonts w:cs="Times New Roman" w:ascii="Times New Roman" w:hAnsi="Times New Roman"/>
          <w:sz w:val="24"/>
        </w:rPr>
        <w:t>D.</w:t>
        <w:tab/>
        <w:t>Vengas</w:t>
      </w:r>
    </w:p>
    <w:p>
      <w:pPr>
        <w:pStyle w:val="Normal"/>
        <w:ind w:start="1440" w:end="-540"/>
        <w:rPr>
          <w:rFonts w:ascii="Times New Roman" w:hAnsi="Times New Roman" w:cs="Times New Roman"/>
          <w:sz w:val="24"/>
          <w:u w:val="single"/>
        </w:rPr>
      </w:pPr>
      <w:r>
        <w:rPr>
          <w:rFonts w:cs="Times New Roman" w:ascii="Times New Roman" w:hAnsi="Times New Roman"/>
          <w:sz w:val="24"/>
        </w:rPr>
        <w:t>LPG Distribution</w:t>
      </w:r>
    </w:p>
    <w:p>
      <w:pPr>
        <w:pStyle w:val="Normal"/>
        <w:ind w:start="1440" w:end="-540"/>
        <w:rPr>
          <w:rFonts w:ascii="Times New Roman" w:hAnsi="Times New Roman" w:cs="Times New Roman"/>
          <w:sz w:val="24"/>
          <w:u w:val="single"/>
        </w:rPr>
      </w:pPr>
      <w:r>
        <w:rPr>
          <w:rFonts w:cs="Times New Roman" w:ascii="Times New Roman" w:hAnsi="Times New Roman"/>
          <w:sz w:val="24"/>
          <w:u w:val="single"/>
        </w:rPr>
      </w:r>
    </w:p>
    <w:p>
      <w:pPr>
        <w:pStyle w:val="Normal"/>
        <w:autoSpaceDE w:val="false"/>
        <w:spacing w:lineRule="atLeast" w:line="240"/>
        <w:ind w:start="1440" w:end="0"/>
        <w:rPr>
          <w:rFonts w:ascii="Times New Roman" w:hAnsi="Times New Roman" w:cs="Times New Roman"/>
          <w:color w:val="000000"/>
          <w:sz w:val="24"/>
        </w:rPr>
      </w:pPr>
      <w:r>
        <w:rPr>
          <w:rFonts w:cs="Times New Roman" w:ascii="Times New Roman" w:hAnsi="Times New Roman"/>
          <w:color w:val="000000"/>
          <w:sz w:val="24"/>
        </w:rPr>
        <w:t>Signed service agreement with EBS for consulting services regarding fiber optic project in Venezuela. Vengas and PDVSA (Venezuelan oil and gas company) will develop a project whereby the joint venture will lay a fiber optic network using PDVSA's ROW</w:t>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r>
    </w:p>
    <w:p>
      <w:pPr>
        <w:pStyle w:val="Normal"/>
        <w:ind w:start="1440" w:end="-540"/>
        <w:rPr>
          <w:rFonts w:ascii="Times New Roman" w:hAnsi="Times New Roman" w:cs="Times New Roman"/>
          <w:sz w:val="24"/>
        </w:rPr>
      </w:pPr>
      <w:r>
        <w:rPr>
          <w:rFonts w:cs="Times New Roman" w:ascii="Times New Roman" w:hAnsi="Times New Roman"/>
          <w:color w:val="000000"/>
          <w:sz w:val="24"/>
        </w:rPr>
        <w:t>Signed MOU for the acquisition of Luferca (small LPG operation in Central Venezuela) for approximately US$3MM. Vengas completing due diligence. Closing date expected for second week of June</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end="-540"/>
        <w:rPr>
          <w:rFonts w:ascii="Times New Roman" w:hAnsi="Times New Roman" w:cs="Times New Roman"/>
          <w:sz w:val="24"/>
        </w:rPr>
      </w:pPr>
      <w:r>
        <w:rPr>
          <w:rFonts w:cs="Times New Roman" w:ascii="Times New Roman" w:hAnsi="Times New Roman"/>
          <w:sz w:val="24"/>
        </w:rPr>
        <w:t>XII.</w:t>
        <w:tab/>
        <w:t>Bolivia (Miguel Mendoza)</w:t>
      </w:r>
    </w:p>
    <w:p>
      <w:pPr>
        <w:pStyle w:val="Normal"/>
        <w:ind w:end="-540"/>
        <w:rPr>
          <w:rFonts w:ascii="Times New Roman" w:hAnsi="Times New Roman" w:cs="Times New Roman"/>
          <w:sz w:val="24"/>
        </w:rPr>
      </w:pPr>
      <w:r>
        <w:rPr>
          <w:rFonts w:cs="Times New Roman" w:ascii="Times New Roman" w:hAnsi="Times New Roman"/>
          <w:sz w:val="24"/>
        </w:rPr>
        <w:tab/>
        <w:t>Transredes</w:t>
      </w:r>
    </w:p>
    <w:p>
      <w:pPr>
        <w:pStyle w:val="Normal"/>
        <w:ind w:end="-540"/>
        <w:rPr>
          <w:rFonts w:ascii="Times New Roman" w:hAnsi="Times New Roman" w:cs="Times New Roman"/>
          <w:sz w:val="24"/>
        </w:rPr>
      </w:pPr>
      <w:r>
        <w:rPr>
          <w:rFonts w:cs="Times New Roman" w:ascii="Times New Roman" w:hAnsi="Times New Roman"/>
          <w:sz w:val="24"/>
        </w:rPr>
      </w:r>
    </w:p>
    <w:p>
      <w:pPr>
        <w:pStyle w:val="Normal"/>
        <w:autoSpaceDE w:val="false"/>
        <w:spacing w:lineRule="atLeast" w:line="240"/>
        <w:ind w:start="720" w:end="0"/>
        <w:rPr>
          <w:rFonts w:ascii="Times New Roman" w:hAnsi="Times New Roman" w:cs="Times New Roman"/>
          <w:color w:val="000000"/>
          <w:sz w:val="24"/>
        </w:rPr>
      </w:pPr>
      <w:r>
        <w:rPr>
          <w:rFonts w:cs="Times New Roman" w:ascii="Times New Roman" w:hAnsi="Times New Roman"/>
          <w:color w:val="000000"/>
          <w:sz w:val="24"/>
        </w:rPr>
        <w:t xml:space="preserve">Signed MOU with Petrobras. PB started due diligence in Santa Cruz on 05/07. PB has 4 weeks to conclude due diligence and confirm initial price US$146 MM. </w:t>
      </w:r>
    </w:p>
    <w:p>
      <w:pPr>
        <w:pStyle w:val="Normal"/>
        <w:autoSpaceDE w:val="false"/>
        <w:spacing w:lineRule="atLeast" w:line="240"/>
        <w:ind w:start="720" w:end="0"/>
        <w:rPr>
          <w:rFonts w:ascii="Times New Roman" w:hAnsi="Times New Roman" w:cs="Times New Roman"/>
          <w:color w:val="000000"/>
          <w:sz w:val="24"/>
        </w:rPr>
      </w:pPr>
      <w:r>
        <w:rPr>
          <w:rFonts w:cs="Times New Roman" w:ascii="Times New Roman" w:hAnsi="Times New Roman"/>
          <w:color w:val="000000"/>
          <w:sz w:val="24"/>
        </w:rPr>
      </w:r>
    </w:p>
    <w:p>
      <w:pPr>
        <w:pStyle w:val="Normal"/>
        <w:autoSpaceDE w:val="false"/>
        <w:spacing w:lineRule="atLeast" w:line="240"/>
        <w:ind w:firstLine="720" w:end="0"/>
        <w:rPr>
          <w:rFonts w:ascii="Times New Roman" w:hAnsi="Times New Roman" w:cs="Times New Roman"/>
          <w:color w:val="000000"/>
          <w:sz w:val="24"/>
        </w:rPr>
      </w:pPr>
      <w:r>
        <w:rPr>
          <w:rFonts w:cs="Times New Roman" w:ascii="Times New Roman" w:hAnsi="Times New Roman"/>
          <w:color w:val="000000"/>
          <w:sz w:val="24"/>
        </w:rPr>
        <w:t xml:space="preserve">Working with V&amp;E in final sale structure. </w:t>
      </w:r>
    </w:p>
    <w:p>
      <w:pPr>
        <w:pStyle w:val="Normal"/>
        <w:ind w:start="720" w:end="-540"/>
        <w:rPr>
          <w:rFonts w:ascii="Times New Roman" w:hAnsi="Times New Roman" w:cs="Times New Roman"/>
          <w:color w:val="000000"/>
          <w:sz w:val="24"/>
        </w:rPr>
      </w:pPr>
      <w:r>
        <w:rPr>
          <w:rFonts w:cs="Times New Roman" w:ascii="Times New Roman" w:hAnsi="Times New Roman"/>
          <w:color w:val="000000"/>
          <w:sz w:val="24"/>
        </w:rPr>
      </w:r>
    </w:p>
    <w:p>
      <w:pPr>
        <w:pStyle w:val="Normal"/>
        <w:ind w:start="720" w:end="-540"/>
        <w:rPr>
          <w:rFonts w:ascii="Times New Roman" w:hAnsi="Times New Roman" w:cs="Times New Roman"/>
          <w:color w:val="000000"/>
          <w:sz w:val="24"/>
        </w:rPr>
      </w:pPr>
      <w:r>
        <w:rPr>
          <w:rFonts w:cs="Times New Roman" w:ascii="Times New Roman" w:hAnsi="Times New Roman"/>
          <w:color w:val="000000"/>
          <w:sz w:val="24"/>
        </w:rPr>
        <w:t>Working with Transredes and GTB to finalize and execute transportation agreements to secure additional gas capacity for Cuiaba II.</w:t>
      </w:r>
    </w:p>
    <w:p>
      <w:pPr>
        <w:pStyle w:val="Normal"/>
        <w:ind w:start="720" w:end="-540"/>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sz w:val="24"/>
        </w:rPr>
      </w:pPr>
      <w:r>
        <w:rPr>
          <w:rFonts w:cs="Times New Roman" w:ascii="Times New Roman" w:hAnsi="Times New Roman"/>
          <w:sz w:val="24"/>
        </w:rPr>
        <w:t>XIII.</w:t>
        <w:tab/>
        <w:t>Argentina (Miguel Mendoza)</w:t>
      </w:r>
    </w:p>
    <w:p>
      <w:pPr>
        <w:pStyle w:val="Normal"/>
        <w:rPr>
          <w:rFonts w:ascii="Times New Roman" w:hAnsi="Times New Roman" w:cs="Times New Roman"/>
          <w:sz w:val="24"/>
        </w:rPr>
      </w:pPr>
      <w:r>
        <w:rPr>
          <w:rFonts w:cs="Times New Roman" w:ascii="Times New Roman" w:hAnsi="Times New Roman"/>
          <w:sz w:val="24"/>
        </w:rPr>
        <w:tab/>
      </w:r>
    </w:p>
    <w:p>
      <w:pPr>
        <w:pStyle w:val="Normal"/>
        <w:tabs>
          <w:tab w:val="left" w:pos="720" w:leader="none"/>
        </w:tabs>
        <w:ind w:hanging="720" w:start="720" w:end="0"/>
        <w:rPr/>
      </w:pPr>
      <w:r>
        <w:rPr>
          <w:rFonts w:cs="Times New Roman" w:ascii="Times New Roman" w:hAnsi="Times New Roman"/>
          <w:color w:val="000000"/>
          <w:sz w:val="24"/>
        </w:rPr>
        <w:tab/>
        <w:t xml:space="preserve">Regulatory agency (Enargas) has informed this week that it will approve appointment of CIESA as the new </w:t>
      </w:r>
      <w:r>
        <w:rPr>
          <w:rFonts w:cs="Times New Roman" w:ascii="Times New Roman" w:hAnsi="Times New Roman"/>
          <w:sz w:val="24"/>
        </w:rPr>
        <w:t xml:space="preserve">TGS </w:t>
      </w:r>
      <w:r>
        <w:rPr>
          <w:rFonts w:cs="Times New Roman" w:ascii="Times New Roman" w:hAnsi="Times New Roman"/>
          <w:color w:val="000000"/>
          <w:sz w:val="24"/>
        </w:rPr>
        <w:t xml:space="preserve">operator of TGS if Enron provides guaranty. Legal and commercial team reviewing guaranty proposal and whether we should continue the process.  </w:t>
      </w:r>
    </w:p>
    <w:p>
      <w:pPr>
        <w:pStyle w:val="Normal"/>
        <w:autoSpaceDE w:val="false"/>
        <w:spacing w:lineRule="atLeast" w:line="240"/>
        <w:ind w:start="720" w:end="0"/>
        <w:rPr>
          <w:rFonts w:ascii="Times New Roman" w:hAnsi="Times New Roman" w:cs="Times New Roman"/>
          <w:color w:val="000000"/>
          <w:sz w:val="24"/>
        </w:rPr>
      </w:pPr>
      <w:r>
        <w:rPr>
          <w:rFonts w:cs="Times New Roman" w:ascii="Times New Roman" w:hAnsi="Times New Roman"/>
          <w:color w:val="000000"/>
          <w:sz w:val="24"/>
        </w:rPr>
      </w:r>
    </w:p>
    <w:p>
      <w:pPr>
        <w:pStyle w:val="Normal"/>
        <w:autoSpaceDE w:val="false"/>
        <w:spacing w:lineRule="atLeast" w:line="240"/>
        <w:ind w:start="720" w:end="0"/>
        <w:rPr>
          <w:rFonts w:ascii="Times New Roman" w:hAnsi="Times New Roman" w:cs="Times New Roman"/>
          <w:color w:val="000000"/>
          <w:sz w:val="24"/>
        </w:rPr>
      </w:pPr>
      <w:r>
        <w:rPr>
          <w:rFonts w:cs="Times New Roman" w:ascii="Times New Roman" w:hAnsi="Times New Roman"/>
          <w:color w:val="000000"/>
          <w:sz w:val="24"/>
        </w:rPr>
        <w:t>CIESA is the 50/50 joint venture between Perez Companc and Enron. Ciesa owns approximately 70% of TGS.</w:t>
      </w:r>
    </w:p>
    <w:p>
      <w:pPr>
        <w:pStyle w:val="Normal"/>
        <w:autoSpaceDE w:val="false"/>
        <w:spacing w:lineRule="atLeast" w:line="240"/>
        <w:ind w:start="720" w:end="0"/>
        <w:rPr>
          <w:rFonts w:ascii="Times New Roman" w:hAnsi="Times New Roman" w:cs="Times New Roman"/>
          <w:color w:val="000000"/>
          <w:sz w:val="24"/>
        </w:rPr>
      </w:pPr>
      <w:r>
        <w:rPr>
          <w:rFonts w:cs="Times New Roman" w:ascii="Times New Roman" w:hAnsi="Times New Roman"/>
          <w:color w:val="000000"/>
          <w:sz w:val="24"/>
        </w:rPr>
      </w:r>
    </w:p>
    <w:p>
      <w:pPr>
        <w:pStyle w:val="Normal"/>
        <w:ind w:start="720" w:end="0"/>
        <w:rPr>
          <w:rFonts w:ascii="Times New Roman" w:hAnsi="Times New Roman" w:cs="Times New Roman"/>
          <w:sz w:val="24"/>
        </w:rPr>
      </w:pPr>
      <w:r>
        <w:rPr>
          <w:rFonts w:cs="Times New Roman" w:ascii="Times New Roman" w:hAnsi="Times New Roman"/>
          <w:color w:val="000000"/>
          <w:sz w:val="24"/>
        </w:rPr>
        <w:t>Appointment CIESA as new operator will allow the project to offset up to US$10MM per year in tax losses against income generated as management fee.</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end="-540"/>
        <w:rPr/>
      </w:pPr>
      <w:r>
        <w:rPr>
          <w:rFonts w:cs="Times New Roman" w:ascii="Times New Roman" w:hAnsi="Times New Roman"/>
          <w:sz w:val="24"/>
        </w:rPr>
        <w:t>XIV.</w:t>
        <w:tab/>
      </w:r>
      <w:r>
        <w:rPr>
          <w:rFonts w:cs="Times New Roman" w:ascii="Times New Roman" w:hAnsi="Times New Roman"/>
          <w:bCs/>
          <w:sz w:val="24"/>
        </w:rPr>
        <w:t xml:space="preserve">Colombia </w:t>
      </w:r>
      <w:r>
        <w:rPr>
          <w:rFonts w:cs="Times New Roman" w:ascii="Times New Roman" w:hAnsi="Times New Roman"/>
          <w:sz w:val="24"/>
        </w:rPr>
        <w:t>(Francisco Pinto Leite)</w:t>
      </w:r>
    </w:p>
    <w:p>
      <w:pPr>
        <w:pStyle w:val="Heading8"/>
        <w:ind w:end="-540"/>
        <w:rPr>
          <w:u w:val="none"/>
        </w:rPr>
      </w:pPr>
      <w:r>
        <w:rPr>
          <w:u w:val="none"/>
        </w:rPr>
        <w:t>Centragas</w:t>
      </w:r>
    </w:p>
    <w:p>
      <w:pPr>
        <w:pStyle w:val="Normal"/>
        <w:ind w:end="-540"/>
        <w:rPr>
          <w:rFonts w:ascii="Times New Roman" w:hAnsi="Times New Roman" w:cs="Times New Roman"/>
          <w:sz w:val="24"/>
          <w:u w:val="none"/>
        </w:rPr>
      </w:pPr>
      <w:r>
        <w:rPr>
          <w:rFonts w:cs="Times New Roman" w:ascii="Times New Roman" w:hAnsi="Times New Roman"/>
          <w:sz w:val="24"/>
          <w:u w:val="none"/>
        </w:rPr>
      </w:r>
    </w:p>
    <w:p>
      <w:pPr>
        <w:pStyle w:val="Normal"/>
        <w:numPr>
          <w:ilvl w:val="0"/>
          <w:numId w:val="3"/>
        </w:numPr>
        <w:ind w:hanging="720" w:start="1440" w:end="-540"/>
        <w:rPr>
          <w:rFonts w:ascii="Times New Roman" w:hAnsi="Times New Roman" w:cs="Times New Roman"/>
          <w:sz w:val="24"/>
        </w:rPr>
      </w:pPr>
      <w:r>
        <w:rPr>
          <w:rFonts w:cs="Times New Roman" w:ascii="Times New Roman" w:hAnsi="Times New Roman"/>
          <w:sz w:val="24"/>
        </w:rPr>
        <w:t>Tax Litigation</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start="1440" w:end="-540"/>
        <w:rPr>
          <w:rFonts w:ascii="Times New Roman" w:hAnsi="Times New Roman" w:cs="Times New Roman"/>
          <w:sz w:val="24"/>
        </w:rPr>
      </w:pPr>
      <w:r>
        <w:rPr>
          <w:rFonts w:cs="Times New Roman" w:ascii="Times New Roman" w:hAnsi="Times New Roman"/>
          <w:sz w:val="24"/>
        </w:rPr>
        <w:t xml:space="preserve">Tax claim was settled with tax authorities (DIAN) for about US$300,000 </w:t>
      </w:r>
    </w:p>
    <w:p>
      <w:pPr>
        <w:pStyle w:val="Normal"/>
        <w:ind w:end="-540"/>
        <w:rPr>
          <w:rFonts w:ascii="Times New Roman" w:hAnsi="Times New Roman" w:cs="Times New Roman"/>
          <w:sz w:val="24"/>
        </w:rPr>
      </w:pPr>
      <w:r>
        <w:rPr>
          <w:rFonts w:cs="Times New Roman" w:ascii="Times New Roman" w:hAnsi="Times New Roman"/>
          <w:sz w:val="24"/>
        </w:rPr>
      </w:r>
    </w:p>
    <w:p>
      <w:pPr>
        <w:pStyle w:val="Normal"/>
        <w:numPr>
          <w:ilvl w:val="0"/>
          <w:numId w:val="3"/>
        </w:numPr>
        <w:ind w:hanging="720" w:start="1440" w:end="-540"/>
        <w:rPr>
          <w:rFonts w:ascii="Times New Roman" w:hAnsi="Times New Roman" w:cs="Times New Roman"/>
          <w:sz w:val="24"/>
        </w:rPr>
      </w:pPr>
      <w:r>
        <w:rPr>
          <w:rFonts w:cs="Times New Roman" w:ascii="Times New Roman" w:hAnsi="Times New Roman"/>
          <w:sz w:val="24"/>
        </w:rPr>
        <w:t>Potential sell down of Enron’s equity interest in Centragas</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start="1440" w:end="-540"/>
        <w:rPr>
          <w:rFonts w:ascii="Times New Roman" w:hAnsi="Times New Roman" w:cs="Times New Roman"/>
          <w:sz w:val="24"/>
        </w:rPr>
      </w:pPr>
      <w:r>
        <w:rPr>
          <w:rFonts w:cs="Times New Roman" w:ascii="Times New Roman" w:hAnsi="Times New Roman"/>
          <w:sz w:val="24"/>
        </w:rPr>
        <w:t>A Confidentiality Agreement was signed with Corfivalle (Colombian investment bank).  We are preparing for Corfivalle initial due diligence.</w:t>
      </w:r>
    </w:p>
    <w:p>
      <w:pPr>
        <w:pStyle w:val="Normal"/>
        <w:ind w:start="1440" w:end="-540"/>
        <w:rPr>
          <w:rFonts w:ascii="Times New Roman" w:hAnsi="Times New Roman" w:cs="Times New Roman"/>
          <w:sz w:val="24"/>
        </w:rPr>
      </w:pPr>
      <w:r>
        <w:rPr>
          <w:rFonts w:cs="Times New Roman" w:ascii="Times New Roman" w:hAnsi="Times New Roman"/>
          <w:sz w:val="24"/>
        </w:rPr>
      </w:r>
    </w:p>
    <w:p>
      <w:pPr>
        <w:pStyle w:val="Normal"/>
        <w:numPr>
          <w:ilvl w:val="0"/>
          <w:numId w:val="3"/>
        </w:numPr>
        <w:ind w:hanging="720" w:start="1440" w:end="-540"/>
        <w:rPr>
          <w:rFonts w:ascii="Times New Roman" w:hAnsi="Times New Roman" w:cs="Times New Roman"/>
          <w:sz w:val="24"/>
        </w:rPr>
      </w:pPr>
      <w:r>
        <w:rPr>
          <w:rFonts w:cs="Times New Roman" w:ascii="Times New Roman" w:hAnsi="Times New Roman"/>
          <w:sz w:val="24"/>
        </w:rPr>
        <w:t>Negotiation of Agreement for Tariff Adjustment with Ecogas</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start="1440" w:end="-540"/>
        <w:rPr>
          <w:rFonts w:ascii="Times New Roman" w:hAnsi="Times New Roman" w:cs="Times New Roman"/>
          <w:sz w:val="24"/>
        </w:rPr>
      </w:pPr>
      <w:r>
        <w:rPr>
          <w:rFonts w:cs="Times New Roman" w:ascii="Times New Roman" w:hAnsi="Times New Roman"/>
          <w:sz w:val="24"/>
        </w:rPr>
        <w:t>Negotiations with Ecogas for the reimbursements of certain increased amounts resulting from a change in tax law have not been successful.  Centragas may file for arbitration soon.</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end="-540"/>
        <w:rPr/>
      </w:pPr>
      <w:r>
        <w:rPr>
          <w:rFonts w:cs="Times New Roman" w:ascii="Times New Roman" w:hAnsi="Times New Roman"/>
          <w:sz w:val="24"/>
        </w:rPr>
        <w:t>XV.</w:t>
        <w:tab/>
      </w:r>
      <w:r>
        <w:rPr>
          <w:rFonts w:cs="Times New Roman" w:ascii="Times New Roman" w:hAnsi="Times New Roman"/>
          <w:bCs/>
          <w:sz w:val="24"/>
        </w:rPr>
        <w:t>Philippines (Angel</w:t>
      </w:r>
      <w:r>
        <w:rPr>
          <w:rFonts w:cs="Times New Roman" w:ascii="Times New Roman" w:hAnsi="Times New Roman"/>
          <w:sz w:val="24"/>
        </w:rPr>
        <w:t xml:space="preserve"> Esguerra)</w:t>
      </w:r>
    </w:p>
    <w:p>
      <w:pPr>
        <w:pStyle w:val="Heading9"/>
        <w:numPr>
          <w:ilvl w:val="0"/>
          <w:numId w:val="15"/>
        </w:numPr>
        <w:spacing w:lineRule="auto" w:line="240"/>
        <w:ind w:hanging="720" w:start="1440" w:end="-540"/>
        <w:rPr>
          <w:color w:val="000000"/>
          <w:u w:val="none"/>
        </w:rPr>
      </w:pPr>
      <w:r>
        <w:rPr>
          <w:color w:val="000000"/>
          <w:u w:val="none"/>
        </w:rPr>
        <w:t>Bulacan Biomass Power Project</w:t>
      </w:r>
    </w:p>
    <w:p>
      <w:pPr>
        <w:pStyle w:val="Header"/>
        <w:tabs>
          <w:tab w:val="clear" w:pos="4320"/>
          <w:tab w:val="clear" w:pos="8640"/>
        </w:tabs>
        <w:ind w:end="-540"/>
        <w:rPr>
          <w:rFonts w:ascii="Times New Roman" w:hAnsi="Times New Roman" w:cs="Times New Roman"/>
          <w:color w:val="000000"/>
          <w:sz w:val="24"/>
          <w:u w:val="none"/>
        </w:rPr>
      </w:pPr>
      <w:r>
        <w:rPr>
          <w:rFonts w:cs="Times New Roman" w:ascii="Times New Roman" w:hAnsi="Times New Roman"/>
          <w:color w:val="000000"/>
          <w:sz w:val="24"/>
          <w:u w:val="none"/>
        </w:rPr>
      </w:r>
    </w:p>
    <w:p>
      <w:pPr>
        <w:pStyle w:val="BlockText"/>
        <w:rPr>
          <w:sz w:val="24"/>
        </w:rPr>
      </w:pPr>
      <w:r>
        <w:rPr>
          <w:sz w:val="24"/>
        </w:rPr>
        <w:t>As Enron internal approvals were not issued, team members continue to search for a third-party who will replace Enron as lead developer, and who is acceptable to Enron’s partners, lenders and off-taker. However, Cypress Energy, the co-developer, has formally issued to Enron a demand letter threatening litigation. We are evaluating Cypress’ letter to determine their causes of action.</w:t>
      </w:r>
    </w:p>
    <w:p>
      <w:pPr>
        <w:pStyle w:val="Normal"/>
        <w:ind w:start="720" w:end="-540"/>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ind w:hanging="720" w:start="1440" w:end="-540"/>
        <w:rPr>
          <w:rFonts w:ascii="Times New Roman" w:hAnsi="Times New Roman" w:cs="Times New Roman"/>
          <w:sz w:val="24"/>
        </w:rPr>
      </w:pPr>
      <w:r>
        <w:rPr>
          <w:rFonts w:cs="Times New Roman" w:ascii="Times New Roman" w:hAnsi="Times New Roman"/>
          <w:sz w:val="24"/>
        </w:rPr>
        <w:t>Batangas Power Plant</w:t>
      </w:r>
    </w:p>
    <w:p>
      <w:pPr>
        <w:pStyle w:val="Normal"/>
        <w:ind w:end="-540"/>
        <w:rPr>
          <w:rFonts w:ascii="Times New Roman" w:hAnsi="Times New Roman" w:cs="Times New Roman"/>
          <w:sz w:val="24"/>
        </w:rPr>
      </w:pPr>
      <w:r>
        <w:rPr>
          <w:rFonts w:cs="Times New Roman" w:ascii="Times New Roman" w:hAnsi="Times New Roman"/>
          <w:sz w:val="24"/>
        </w:rPr>
      </w:r>
    </w:p>
    <w:p>
      <w:pPr>
        <w:pStyle w:val="BodyText2"/>
        <w:ind w:hanging="0" w:start="1440" w:end="-540"/>
        <w:rPr>
          <w:sz w:val="24"/>
        </w:rPr>
      </w:pPr>
      <w:r>
        <w:rPr>
          <w:sz w:val="24"/>
        </w:rPr>
        <w:t xml:space="preserve">The Philippine Bureau of Internal Revenue has issued a letter that raised certain issues as regards the first income tax return filed by Batangas after its 6-year tax holiday. </w:t>
      </w:r>
    </w:p>
    <w:p>
      <w:pPr>
        <w:pStyle w:val="BodyText2"/>
        <w:ind w:start="1440" w:end="-540"/>
        <w:rPr>
          <w:sz w:val="24"/>
        </w:rPr>
      </w:pPr>
      <w:r>
        <w:rPr>
          <w:sz w:val="24"/>
        </w:rPr>
      </w:r>
    </w:p>
    <w:p>
      <w:pPr>
        <w:pStyle w:val="Normal"/>
        <w:numPr>
          <w:ilvl w:val="0"/>
          <w:numId w:val="15"/>
        </w:numPr>
        <w:ind w:hanging="720" w:start="1440" w:end="-540"/>
        <w:rPr>
          <w:rFonts w:ascii="Times New Roman" w:hAnsi="Times New Roman" w:cs="Times New Roman"/>
          <w:sz w:val="24"/>
        </w:rPr>
      </w:pPr>
      <w:r>
        <w:rPr>
          <w:rFonts w:cs="Times New Roman" w:ascii="Times New Roman" w:hAnsi="Times New Roman"/>
          <w:sz w:val="24"/>
        </w:rPr>
        <w:t>Subic Power Plant</w:t>
      </w:r>
    </w:p>
    <w:p>
      <w:pPr>
        <w:pStyle w:val="Normal"/>
        <w:ind w:start="1440" w:end="-540"/>
        <w:rPr>
          <w:rFonts w:ascii="Times New Roman" w:hAnsi="Times New Roman" w:cs="Times New Roman"/>
          <w:sz w:val="24"/>
        </w:rPr>
      </w:pPr>
      <w:r>
        <w:rPr>
          <w:rFonts w:cs="Times New Roman" w:ascii="Times New Roman" w:hAnsi="Times New Roman"/>
          <w:sz w:val="24"/>
        </w:rPr>
      </w:r>
    </w:p>
    <w:p>
      <w:pPr>
        <w:pStyle w:val="BodyText2"/>
        <w:ind w:hanging="0" w:start="1440" w:end="-540"/>
        <w:rPr>
          <w:sz w:val="24"/>
        </w:rPr>
      </w:pPr>
      <w:r>
        <w:rPr>
          <w:sz w:val="24"/>
        </w:rPr>
        <w:t xml:space="preserve">External tax litigation counsel continue to present evidence (including testimony of internal counsel and numerous documents) in cases filed with the Philippine Court of Tax Appeals to contest tax assessments by the Philippine Bureau of Internal Revenue. </w:t>
      </w:r>
    </w:p>
    <w:p>
      <w:pPr>
        <w:pStyle w:val="BodyText2"/>
        <w:ind w:start="1440" w:end="-540"/>
        <w:rPr>
          <w:sz w:val="24"/>
        </w:rPr>
      </w:pPr>
      <w:r>
        <w:rPr>
          <w:sz w:val="24"/>
        </w:rPr>
      </w:r>
    </w:p>
    <w:p>
      <w:pPr>
        <w:pStyle w:val="BodyText2"/>
        <w:ind w:hanging="0" w:start="1440" w:end="-540"/>
        <w:rPr>
          <w:sz w:val="24"/>
        </w:rPr>
      </w:pPr>
      <w:r>
        <w:rPr>
          <w:sz w:val="24"/>
        </w:rPr>
        <w:t>External labor litigation counsel are contesting the claims by 7 former employees of a contractor to the effect that they are employees of Subic Power Corp. in a case filed with the Philippine National Labor Relations Commission,</w:t>
      </w:r>
    </w:p>
    <w:p>
      <w:pPr>
        <w:pStyle w:val="BodyText2"/>
        <w:ind w:start="1440" w:end="-540"/>
        <w:rPr>
          <w:sz w:val="24"/>
        </w:rPr>
      </w:pPr>
      <w:r>
        <w:rPr>
          <w:sz w:val="24"/>
        </w:rPr>
      </w:r>
    </w:p>
    <w:p>
      <w:pPr>
        <w:pStyle w:val="Normal"/>
        <w:keepLines/>
        <w:ind w:end="-540"/>
        <w:rPr/>
      </w:pPr>
      <w:r>
        <w:rPr>
          <w:rFonts w:cs="Times New Roman" w:ascii="Times New Roman" w:hAnsi="Times New Roman"/>
          <w:bCs/>
          <w:sz w:val="24"/>
        </w:rPr>
        <w:t>XVI.</w:t>
        <w:tab/>
        <w:t xml:space="preserve">Guam </w:t>
      </w:r>
      <w:r>
        <w:rPr>
          <w:rFonts w:cs="Times New Roman" w:ascii="Times New Roman" w:hAnsi="Times New Roman"/>
          <w:sz w:val="24"/>
        </w:rPr>
        <w:t>(Angel Esguerra)</w:t>
      </w:r>
    </w:p>
    <w:p>
      <w:pPr>
        <w:pStyle w:val="Normal"/>
        <w:keepLines/>
        <w:ind w:start="720" w:end="-540"/>
        <w:rPr>
          <w:rFonts w:ascii="Times New Roman" w:hAnsi="Times New Roman" w:cs="Times New Roman"/>
          <w:sz w:val="24"/>
        </w:rPr>
      </w:pPr>
      <w:r>
        <w:rPr>
          <w:rFonts w:cs="Times New Roman" w:ascii="Times New Roman" w:hAnsi="Times New Roman"/>
          <w:sz w:val="24"/>
        </w:rPr>
        <w:t>Piti Power Plant</w:t>
      </w:r>
    </w:p>
    <w:p>
      <w:pPr>
        <w:pStyle w:val="Normal"/>
        <w:keepLines/>
        <w:ind w:end="-540"/>
        <w:rPr>
          <w:rFonts w:ascii="Times New Roman" w:hAnsi="Times New Roman" w:cs="Times New Roman"/>
          <w:sz w:val="24"/>
        </w:rPr>
      </w:pPr>
      <w:r>
        <w:rPr>
          <w:rFonts w:cs="Times New Roman" w:ascii="Times New Roman" w:hAnsi="Times New Roman"/>
          <w:sz w:val="24"/>
        </w:rPr>
      </w:r>
    </w:p>
    <w:p>
      <w:pPr>
        <w:pStyle w:val="Normal"/>
        <w:keepLines/>
        <w:ind w:hanging="720" w:start="720" w:end="-540"/>
        <w:rPr>
          <w:rFonts w:ascii="Times New Roman" w:hAnsi="Times New Roman" w:cs="Times New Roman"/>
          <w:sz w:val="24"/>
        </w:rPr>
      </w:pPr>
      <w:r>
        <w:rPr>
          <w:rFonts w:cs="Times New Roman" w:ascii="Times New Roman" w:hAnsi="Times New Roman"/>
          <w:sz w:val="24"/>
        </w:rPr>
        <w:tab/>
        <w:t xml:space="preserve">The first quarterly meeting of the partners was held in Manila on April 25, 2001. </w:t>
      </w:r>
    </w:p>
    <w:p>
      <w:pPr>
        <w:pStyle w:val="Normal"/>
        <w:ind w:end="-540"/>
        <w:rPr>
          <w:rFonts w:ascii="Times New Roman" w:hAnsi="Times New Roman" w:cs="Times New Roman"/>
          <w:sz w:val="24"/>
        </w:rPr>
      </w:pPr>
      <w:r>
        <w:rPr>
          <w:rFonts w:cs="Times New Roman" w:ascii="Times New Roman" w:hAnsi="Times New Roman"/>
          <w:sz w:val="24"/>
        </w:rPr>
      </w:r>
    </w:p>
    <w:p>
      <w:pPr>
        <w:pStyle w:val="EndnoteText"/>
        <w:rPr>
          <w:rFonts w:ascii="Times New Roman" w:hAnsi="Times New Roman" w:cs="Times New Roman"/>
          <w:sz w:val="24"/>
        </w:rPr>
      </w:pPr>
      <w:r>
        <w:rPr>
          <w:rFonts w:cs="Times New Roman" w:ascii="Times New Roman" w:hAnsi="Times New Roman"/>
          <w:sz w:val="24"/>
        </w:rPr>
      </w:r>
    </w:p>
    <w:sectPr>
      <w:headerReference w:type="default" r:id="rId2"/>
      <w:headerReference w:type="first" r:id="rId3"/>
      <w:footerReference w:type="default" r:id="rId4"/>
      <w:footerReference w:type="first" r:id="rId5"/>
      <w:type w:val="nextPage"/>
      <w:pgSz w:w="12240" w:h="15840"/>
      <w:pgMar w:left="1440" w:right="1440" w:gutter="0" w:header="288" w:top="576" w:footer="432"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/mnt/main-storage/datasets/enron-docs/doc/Monthly_Report_May_JVD.doc</w:t>
    </w:r>
    <w:r>
      <w:rPr>
        <w:rStyle w:val="PageNumber"/>
        <w:sz w:val="12"/>
      </w:rPr>
      <w:fldChar w:fldCharType="end"/>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rPr>
    </w:pPr>
    <w:r>
      <w:rPr>
        <w:b/>
        <w:bCs/>
        <w:i/>
      </w:rPr>
      <w:t>PRIVILEGED AND CONFIDENTIAL</w:t>
    </w:r>
  </w:p>
  <w:p>
    <w:pPr>
      <w:pStyle w:val="Header"/>
      <w:jc w:val="end"/>
      <w:rPr>
        <w:b/>
        <w:bCs/>
        <w:i/>
        <w:i/>
      </w:rPr>
    </w:pPr>
    <w:r>
      <w:rPr>
        <w:b/>
        <w:bCs/>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upperLetter"/>
      <w:lvlText w:val="%1."/>
      <w:lvlJc w:val="start"/>
      <w:pPr>
        <w:tabs>
          <w:tab w:val="num" w:pos="1440"/>
        </w:tabs>
        <w:ind w:start="1440" w:hanging="720"/>
      </w:pPr>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bullet"/>
      <w:lvlText w:val=""/>
      <w:lvlJc w:val="start"/>
      <w:pPr>
        <w:tabs>
          <w:tab w:val="num" w:pos="720"/>
        </w:tabs>
        <w:ind w:start="108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720"/>
        </w:tabs>
        <w:ind w:start="720" w:hanging="360"/>
      </w:pPr>
      <w:rPr/>
    </w:lvl>
  </w:abstractNum>
  <w:abstractNum w:abstractNumId="9">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10">
    <w:lvl w:ilvl="0">
      <w:start w:val="1"/>
      <w:numFmt w:val="decimal"/>
      <w:lvlText w:val="%1."/>
      <w:lvlJc w:val="start"/>
      <w:pPr>
        <w:tabs>
          <w:tab w:val="num" w:pos="720"/>
        </w:tabs>
        <w:ind w:start="720" w:hanging="360"/>
      </w:pPr>
      <w:rPr/>
    </w:lvl>
    <w:lvl w:ilvl="1">
      <w:start w:val="1"/>
      <w:numFmt w:val="lowerRoman"/>
      <w:lvlText w:val="(%2)"/>
      <w:lvlJc w:val="start"/>
      <w:pPr>
        <w:tabs>
          <w:tab w:val="num" w:pos="1800"/>
        </w:tabs>
        <w:ind w:start="1800" w:hanging="720"/>
      </w:pPr>
      <w:rPr/>
    </w:lvl>
    <w:lvl w:ilvl="2">
      <w:start w:val="1"/>
      <w:numFmt w:val="bullet"/>
      <w:lvlText w:val=""/>
      <w:lvlJc w:val="start"/>
      <w:pPr>
        <w:tabs>
          <w:tab w:val="num" w:pos="2340"/>
        </w:tabs>
        <w:ind w:start="2340" w:hanging="360"/>
      </w:pPr>
      <w:rPr>
        <w:rFonts w:ascii="Symbol" w:hAnsi="Symbol" w:cs="Symbol" w:hint="default"/>
      </w:rPr>
    </w:lvl>
    <w:lvl w:ilvl="3">
      <w:start w:val="0"/>
      <w:numFmt w:val="bullet"/>
      <w:lvlText w:val="-"/>
      <w:lvlJc w:val="start"/>
      <w:pPr>
        <w:tabs>
          <w:tab w:val="num" w:pos="2880"/>
        </w:tabs>
        <w:ind w:start="2880" w:hanging="360"/>
      </w:pPr>
      <w:rPr>
        <w:rFonts w:ascii="Times New Roman" w:hAnsi="Times New Roman" w:cs="Times New Roman" w:hint="default"/>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1">
    <w:lvl w:ilvl="0">
      <w:start w:val="1"/>
      <w:numFmt w:val="upperLetter"/>
      <w:lvlText w:val="%1."/>
      <w:lvlJc w:val="start"/>
      <w:pPr>
        <w:tabs>
          <w:tab w:val="num" w:pos="1440"/>
        </w:tabs>
        <w:ind w:start="1440" w:hanging="720"/>
      </w:pPr>
      <w:rPr/>
    </w:lvl>
  </w:abstractNum>
  <w:abstractNum w:abstractNumId="12">
    <w:lvl w:ilvl="0">
      <w:numFmt w:val="bullet"/>
      <w:lvlText w:val=""/>
      <w:lvlJc w:val="start"/>
      <w:pPr>
        <w:tabs>
          <w:tab w:val="num" w:pos="540"/>
        </w:tabs>
        <w:ind w:start="540" w:hanging="360"/>
      </w:pPr>
      <w:rPr>
        <w:rFonts w:ascii="Symbol" w:hAnsi="Symbol" w:cs="Symbol" w:hint="default"/>
        <w:sz w:val="16"/>
      </w:rPr>
    </w:lvl>
  </w:abstractNum>
  <w:abstractNum w:abstractNumId="13">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i/>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4">
    <w:lvl w:ilvl="0">
      <w:start w:val="1"/>
      <w:numFmt w:val="decimal"/>
      <w:lvlText w:val="%1."/>
      <w:lvlJc w:val="start"/>
      <w:pPr>
        <w:tabs>
          <w:tab w:val="num" w:pos="780"/>
        </w:tabs>
        <w:ind w:start="780" w:hanging="42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upperLetter"/>
      <w:lvlText w:val="%1."/>
      <w:lvlJc w:val="start"/>
      <w:pPr>
        <w:tabs>
          <w:tab w:val="num" w:pos="1440"/>
        </w:tabs>
        <w:ind w:start="1440" w:hanging="720"/>
      </w:pPr>
      <w:rPr>
        <w:u w:val="none"/>
      </w:rPr>
    </w:lvl>
  </w:abstractNum>
  <w:abstractNum w:abstractNumId="16">
    <w:lvl w:ilvl="0">
      <w:start w:val="5"/>
      <w:numFmt w:val="upperRoman"/>
      <w:lvlText w:val="%1."/>
      <w:lvlJc w:val="start"/>
      <w:pPr>
        <w:tabs>
          <w:tab w:val="num" w:pos="720"/>
        </w:tabs>
        <w:ind w:start="720" w:hanging="720"/>
      </w:pPr>
      <w:rPr/>
    </w:lvl>
  </w:abstractNum>
  <w:abstractNum w:abstractNumId="17">
    <w:lvl w:ilvl="0">
      <w:start w:val="8"/>
      <w:numFmt w:val="upperRoman"/>
      <w:lvlText w:val="%1."/>
      <w:lvlJc w:val="start"/>
      <w:pPr>
        <w:tabs>
          <w:tab w:val="num" w:pos="720"/>
        </w:tabs>
        <w:ind w:start="720" w:hanging="720"/>
      </w:pPr>
      <w:rPr/>
    </w:lvl>
  </w:abstractNum>
  <w:abstractNum w:abstractNumId="18">
    <w:lvl w:ilvl="0">
      <w:start w:val="1"/>
      <w:numFmt w:val="decimal"/>
      <w:lvlText w:val="%1."/>
      <w:lvlJc w:val="start"/>
      <w:pPr>
        <w:tabs>
          <w:tab w:val="num" w:pos="1080"/>
        </w:tabs>
        <w:ind w:start="1080" w:hanging="360"/>
      </w:pPr>
      <w:rPr/>
    </w:lvl>
  </w:abstractNum>
  <w:abstractNum w:abstractNumId="19">
    <w:lvl w:ilvl="0">
      <w:start w:val="1"/>
      <w:numFmt w:val="bullet"/>
      <w:lvlText w:val=""/>
      <w:lvlJc w:val="start"/>
      <w:pPr>
        <w:tabs>
          <w:tab w:val="num" w:pos="1440"/>
        </w:tabs>
        <w:ind w:start="1440" w:hanging="360"/>
      </w:pPr>
      <w:rPr>
        <w:rFonts w:ascii="Symbol" w:hAnsi="Symbol" w:cs="Symbol" w:hint="default"/>
      </w:rPr>
    </w:lvl>
  </w:abstractNum>
  <w:abstractNum w:abstractNumId="20">
    <w:lvl w:ilvl="0">
      <w:start w:val="1"/>
      <w:numFmt w:val="decimal"/>
      <w:lvlText w:val="%1."/>
      <w:lvlJc w:val="start"/>
      <w:pPr>
        <w:tabs>
          <w:tab w:val="num" w:pos="780"/>
        </w:tabs>
        <w:ind w:start="780" w:hanging="420"/>
      </w:pPr>
      <w:rPr/>
    </w:lvl>
  </w:abstractNum>
  <w:abstractNum w:abstractNumId="21">
    <w:lvl w:ilvl="0">
      <w:start w:val="1"/>
      <w:numFmt w:val="decimal"/>
      <w:lvlText w:val="%1."/>
      <w:lvlJc w:val="start"/>
      <w:pPr>
        <w:tabs>
          <w:tab w:val="num" w:pos="720"/>
        </w:tabs>
        <w:ind w:start="720" w:hanging="360"/>
      </w:pPr>
      <w:rPr/>
    </w:lvl>
    <w:lvl w:ilvl="1">
      <w:start w:val="1"/>
      <w:numFmt w:val="lowerRoman"/>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2">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3">
    <w:lvl w:ilvl="0">
      <w:start w:val="2"/>
      <w:numFmt w:val="upperLetter"/>
      <w:lvlText w:val="%1."/>
      <w:lvlJc w:val="start"/>
      <w:pPr>
        <w:tabs>
          <w:tab w:val="num" w:pos="1440"/>
        </w:tabs>
        <w:ind w:start="1440" w:hanging="720"/>
      </w:pPr>
      <w:rPr/>
    </w:lvl>
  </w:abstractNum>
  <w:abstractNum w:abstractNumId="24">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25">
    <w:lvl w:ilvl="0">
      <w:start w:val="1"/>
      <w:numFmt w:val="decimal"/>
      <w:lvlText w:val="%1."/>
      <w:lvlJc w:val="start"/>
      <w:pPr>
        <w:tabs>
          <w:tab w:val="num" w:pos="360"/>
        </w:tabs>
        <w:ind w:start="360" w:hanging="360"/>
      </w:pPr>
      <w:rPr/>
    </w:lvl>
  </w:abstractNum>
  <w:abstractNum w:abstractNumId="26">
    <w:lvl w:ilvl="0">
      <w:start w:val="1"/>
      <w:numFmt w:val="upperRoman"/>
      <w:lvlText w:val="%1."/>
      <w:lvlJc w:val="start"/>
      <w:pPr>
        <w:tabs>
          <w:tab w:val="num" w:pos="720"/>
        </w:tabs>
        <w:ind w:start="720" w:hanging="720"/>
      </w:pPr>
      <w:rPr/>
    </w:lvl>
  </w:abstractNum>
  <w:abstractNum w:abstractNumId="27">
    <w:lvl w:ilvl="0">
      <w:start w:val="1"/>
      <w:numFmt w:val="bullet"/>
      <w:lvlText w:val=""/>
      <w:lvlJc w:val="start"/>
      <w:pPr>
        <w:tabs>
          <w:tab w:val="num" w:pos="360"/>
        </w:tabs>
        <w:ind w:start="1080" w:hanging="360"/>
      </w:pPr>
      <w:rPr>
        <w:rFonts w:ascii="Symbol" w:hAnsi="Symbol" w:cs="Symbol" w:hint="default"/>
      </w:rPr>
    </w:lvl>
  </w:abstractNum>
  <w:abstractNum w:abstractNumId="28">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outlineLvl w:val="4"/>
    </w:pPr>
    <w:rPr>
      <w:rFonts w:ascii="Times New Roman" w:hAnsi="Times New Roman" w:cs="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jc w:val="both"/>
      <w:outlineLvl w:val="6"/>
    </w:pPr>
    <w:rPr>
      <w:b/>
      <w:i/>
      <w:u w:val="single"/>
    </w:rPr>
  </w:style>
  <w:style w:type="paragraph" w:styleId="Heading8">
    <w:name w:val="heading 8"/>
    <w:basedOn w:val="Normal"/>
    <w:next w:val="Normal"/>
    <w:qFormat/>
    <w:pPr>
      <w:keepNext w:val="true"/>
      <w:widowControl/>
      <w:numPr>
        <w:ilvl w:val="7"/>
        <w:numId w:val="1"/>
      </w:numPr>
      <w:ind w:hanging="0" w:start="720" w:end="0"/>
      <w:outlineLvl w:val="7"/>
    </w:pPr>
    <w:rPr>
      <w:rFonts w:ascii="Times New Roman" w:hAnsi="Times New Roman" w:cs="Times New Roman"/>
      <w:sz w:val="24"/>
      <w:u w:val="single"/>
    </w:rPr>
  </w:style>
  <w:style w:type="paragraph" w:styleId="Heading9">
    <w:name w:val="heading 9"/>
    <w:basedOn w:val="Normal"/>
    <w:next w:val="Normal"/>
    <w:qFormat/>
    <w:pPr>
      <w:keepNext w:val="true"/>
      <w:widowControl/>
      <w:numPr>
        <w:ilvl w:val="8"/>
        <w:numId w:val="1"/>
      </w:numPr>
      <w:spacing w:lineRule="atLeast" w:line="240"/>
      <w:ind w:firstLine="720" w:start="0" w:end="0"/>
      <w:outlineLvl w:val="8"/>
    </w:pPr>
    <w:rPr>
      <w:rFonts w:ascii="Times New Roman" w:hAnsi="Times New Roman" w:cs="Times New Roman"/>
      <w:color w:val="000000"/>
      <w:sz w:val="24"/>
      <w:u w:val="singl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7z0">
    <w:name w:val="WW8Num17z0"/>
    <w:qFormat/>
    <w:rPr>
      <w:rFonts w:ascii="Symbol" w:hAnsi="Symbol" w:cs="Symbol"/>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32z0">
    <w:name w:val="WW8Num32z0"/>
    <w:qFormat/>
    <w:rPr>
      <w:rFonts w:ascii="Symbol" w:hAnsi="Symbol" w:cs="Symbol"/>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5z2">
    <w:name w:val="WW8Num45z2"/>
    <w:qFormat/>
    <w:rPr>
      <w:rFonts w:ascii="Symbol" w:hAnsi="Symbol" w:cs="Symbol"/>
    </w:rPr>
  </w:style>
  <w:style w:type="character" w:styleId="WW8Num45z3">
    <w:name w:val="WW8Num45z3"/>
    <w:qFormat/>
    <w:rPr>
      <w:rFonts w:ascii="Times New Roman" w:hAnsi="Times New Roman" w:eastAsia="Times New Roman" w:cs="Times New Roman"/>
    </w:rPr>
  </w:style>
  <w:style w:type="character" w:styleId="WW8Num46z0">
    <w:name w:val="WW8Num46z0"/>
    <w:qFormat/>
    <w:rPr>
      <w:rFonts w:ascii="Symbol" w:hAnsi="Symbol" w:cs="Symbol"/>
    </w:rPr>
  </w:style>
  <w:style w:type="character" w:styleId="WW8Num47z0">
    <w:name w:val="WW8Num47z0"/>
    <w:qFormat/>
    <w:rPr/>
  </w:style>
  <w:style w:type="character" w:styleId="WW8Num50z0">
    <w:name w:val="WW8Num50z0"/>
    <w:qFormat/>
    <w:rPr>
      <w:rFonts w:ascii="Symbol" w:hAnsi="Symbol" w:cs="Symbol"/>
      <w:sz w:val="16"/>
    </w:rPr>
  </w:style>
  <w:style w:type="character" w:styleId="WW8Num51z0">
    <w:name w:val="WW8Num51z0"/>
    <w:qFormat/>
    <w:rPr/>
  </w:style>
  <w:style w:type="character" w:styleId="WW8Num52z0">
    <w:name w:val="WW8Num52z0"/>
    <w:qFormat/>
    <w:rPr>
      <w:rFonts w:ascii="Symbol" w:hAnsi="Symbol" w:cs="Symbol"/>
    </w:rPr>
  </w:style>
  <w:style w:type="character" w:styleId="WW8Num52z1">
    <w:name w:val="WW8Num52z1"/>
    <w:qFormat/>
    <w:rPr>
      <w:rFonts w:ascii="Times New Roman" w:hAnsi="Times New Roman" w:eastAsia="Times New Roman" w:cs="Times New Roman"/>
      <w:i/>
    </w:rPr>
  </w:style>
  <w:style w:type="character" w:styleId="WW8Num52z2">
    <w:name w:val="WW8Num52z2"/>
    <w:qFormat/>
    <w:rPr>
      <w:rFonts w:ascii="Wingdings" w:hAnsi="Wingdings" w:cs="Wingdings"/>
    </w:rPr>
  </w:style>
  <w:style w:type="character" w:styleId="WW8Num52z4">
    <w:name w:val="WW8Num52z4"/>
    <w:qFormat/>
    <w:rPr>
      <w:rFonts w:ascii="Courier New" w:hAnsi="Courier New" w:cs="Courier New"/>
    </w:rPr>
  </w:style>
  <w:style w:type="character" w:styleId="WW8Num53z0">
    <w:name w:val="WW8Num53z0"/>
    <w:qFormat/>
    <w:rPr/>
  </w:style>
  <w:style w:type="character" w:styleId="WW8Num54z0">
    <w:name w:val="WW8Num54z0"/>
    <w:qFormat/>
    <w:rPr/>
  </w:style>
  <w:style w:type="character" w:styleId="WW8Num55z0">
    <w:name w:val="WW8Num55z0"/>
    <w:qFormat/>
    <w:rPr>
      <w:rFonts w:ascii="Symbol" w:hAnsi="Symbol" w:cs="Symbol"/>
    </w:rPr>
  </w:style>
  <w:style w:type="character" w:styleId="WW8Num57z0">
    <w:name w:val="WW8Num57z0"/>
    <w:qFormat/>
    <w:rPr/>
  </w:style>
  <w:style w:type="character" w:styleId="WW8Num58z0">
    <w:name w:val="WW8Num58z0"/>
    <w:qFormat/>
    <w:rPr/>
  </w:style>
  <w:style w:type="character" w:styleId="WW8Num64z0">
    <w:name w:val="WW8Num64z0"/>
    <w:qFormat/>
    <w:rPr/>
  </w:style>
  <w:style w:type="character" w:styleId="WW8Num66z0">
    <w:name w:val="WW8Num66z0"/>
    <w:qFormat/>
    <w:rPr/>
  </w:style>
  <w:style w:type="character" w:styleId="WW8Num66z1">
    <w:name w:val="WW8Num66z1"/>
    <w:qFormat/>
    <w:rPr>
      <w:rFonts w:ascii="Symbol" w:hAnsi="Symbol" w:cs="Symbol"/>
    </w:rPr>
  </w:style>
  <w:style w:type="character" w:styleId="WW8Num70z0">
    <w:name w:val="WW8Num70z0"/>
    <w:qFormat/>
    <w:rPr>
      <w:rFonts w:ascii="Tms Rmn;Times New Roman" w:hAnsi="Tms Rmn;Times New Roman" w:cs="Tms Rmn;Times New Roman"/>
    </w:rPr>
  </w:style>
  <w:style w:type="character" w:styleId="WW8Num73z0">
    <w:name w:val="WW8Num73z0"/>
    <w:qFormat/>
    <w:rPr>
      <w:u w:val="none"/>
    </w:rPr>
  </w:style>
  <w:style w:type="character" w:styleId="WW8Num74z0">
    <w:name w:val="WW8Num74z0"/>
    <w:qFormat/>
    <w:rPr/>
  </w:style>
  <w:style w:type="character" w:styleId="WW8Num75z0">
    <w:name w:val="WW8Num75z0"/>
    <w:qFormat/>
    <w:rPr/>
  </w:style>
  <w:style w:type="character" w:styleId="WW8Num77z0">
    <w:name w:val="WW8Num77z0"/>
    <w:qFormat/>
    <w:rPr/>
  </w:style>
  <w:style w:type="character" w:styleId="WW8Num78z0">
    <w:name w:val="WW8Num78z0"/>
    <w:qFormat/>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2z0">
    <w:name w:val="WW8Num82z0"/>
    <w:qFormat/>
    <w:rPr/>
  </w:style>
  <w:style w:type="character" w:styleId="WW8Num83z0">
    <w:name w:val="WW8Num83z0"/>
    <w:qFormat/>
    <w:rPr>
      <w:rFonts w:ascii="Wingdings" w:hAnsi="Wingdings" w:cs="Wingdings"/>
      <w:sz w:val="20"/>
    </w:rPr>
  </w:style>
  <w:style w:type="character" w:styleId="WW8Num86z0">
    <w:name w:val="WW8Num86z0"/>
    <w:qFormat/>
    <w:rPr/>
  </w:style>
  <w:style w:type="character" w:styleId="WW8Num87z0">
    <w:name w:val="WW8Num87z0"/>
    <w:qFormat/>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5z0">
    <w:name w:val="WW8Num95z0"/>
    <w:qFormat/>
    <w:rPr/>
  </w:style>
  <w:style w:type="character" w:styleId="WW8Num96z0">
    <w:name w:val="WW8Num96z0"/>
    <w:qFormat/>
    <w:rPr>
      <w:rFonts w:ascii="Wingdings" w:hAnsi="Wingdings" w:cs="Wingdings"/>
    </w:rPr>
  </w:style>
  <w:style w:type="character" w:styleId="WW8Num98z0">
    <w:name w:val="WW8Num98z0"/>
    <w:qFormat/>
    <w:rPr/>
  </w:style>
  <w:style w:type="character" w:styleId="WW8Num98z1">
    <w:name w:val="WW8Num98z1"/>
    <w:qFormat/>
    <w:rPr>
      <w:rFonts w:ascii="Times New Roman" w:hAnsi="Times New Roman" w:eastAsia="Times New Roman" w:cs="Times New Roman"/>
    </w:rPr>
  </w:style>
  <w:style w:type="character" w:styleId="WW8Num99z0">
    <w:name w:val="WW8Num99z0"/>
    <w:qFormat/>
    <w:rPr/>
  </w:style>
  <w:style w:type="character" w:styleId="WW8Num100z1">
    <w:name w:val="WW8Num100z1"/>
    <w:qFormat/>
    <w:rPr>
      <w:rFonts w:ascii="Symbol" w:hAnsi="Symbol" w:cs="Symbol"/>
    </w:rPr>
  </w:style>
  <w:style w:type="character" w:styleId="WW8Num102z0">
    <w:name w:val="WW8Num102z0"/>
    <w:qFormat/>
    <w:rPr>
      <w:rFonts w:ascii="Times New Roman" w:hAnsi="Times New Roman" w:eastAsia="Times New Roman" w:cs="Times New Roman"/>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0">
    <w:name w:val="WW8Num103z0"/>
    <w:qFormat/>
    <w:rPr/>
  </w:style>
  <w:style w:type="character" w:styleId="WW8Num104z0">
    <w:name w:val="WW8Num104z0"/>
    <w:qFormat/>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Wingdings" w:hAnsi="Wingdings" w:cs="Wingdings"/>
      <w:sz w:val="20"/>
    </w:rPr>
  </w:style>
  <w:style w:type="character" w:styleId="WW8Num108z0">
    <w:name w:val="WW8Num108z0"/>
    <w:qFormat/>
    <w:rPr>
      <w:rFonts w:ascii="Wingdings" w:hAnsi="Wingdings" w:cs="Wingdings"/>
      <w:sz w:val="20"/>
    </w:rPr>
  </w:style>
  <w:style w:type="character" w:styleId="WW8Num110z0">
    <w:name w:val="WW8Num110z0"/>
    <w:qFormat/>
    <w:rPr/>
  </w:style>
  <w:style w:type="character" w:styleId="WW8Num111z0">
    <w:name w:val="WW8Num111z0"/>
    <w:qFormat/>
    <w:rPr/>
  </w:style>
  <w:style w:type="character" w:styleId="WW8Num113z0">
    <w:name w:val="WW8Num113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paragraph" w:styleId="BodyText3">
    <w:name w:val="Body Text 3"/>
    <w:basedOn w:val="Normal"/>
    <w:qFormat/>
    <w:pPr>
      <w:widowControl/>
      <w:tabs>
        <w:tab w:val="clear" w:pos="720"/>
        <w:tab w:val="left" w:pos="1344" w:leader="none"/>
        <w:tab w:val="left" w:pos="5106" w:leader="none"/>
        <w:tab w:val="left" w:pos="7254" w:leader="none"/>
        <w:tab w:val="left" w:pos="10080" w:leader="none"/>
      </w:tabs>
      <w:ind w:hanging="0" w:start="0" w:end="-306"/>
      <w:jc w:val="both"/>
    </w:pPr>
    <w:rPr>
      <w:rFonts w:ascii="Times New Roman" w:hAnsi="Times New Roman" w:cs="Times New Roman"/>
      <w:sz w:val="16"/>
    </w:rPr>
  </w:style>
  <w:style w:type="paragraph" w:styleId="BlockText">
    <w:name w:val="Block Text"/>
    <w:basedOn w:val="Normal"/>
    <w:qFormat/>
    <w:pPr>
      <w:widowControl/>
      <w:ind w:hanging="0" w:start="1440" w:end="-540"/>
    </w:pPr>
    <w:rPr>
      <w:rFonts w:ascii="Times New Roman" w:hAnsi="Times New Roman" w:cs="Times New Roman"/>
      <w:color w:val="000000"/>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2001-05-16T11:29:00Z</dcterms:created>
  <dc:creator>kyoung</dc:creator>
  <dc:description/>
  <dc:language>en-CA</dc:language>
  <cp:lastModifiedBy>jelbert</cp:lastModifiedBy>
  <cp:lastPrinted>2001-05-18T11:23:00Z</cp:lastPrinted>
  <dcterms:modified xsi:type="dcterms:W3CDTF">2001-05-18T13:54:00Z</dcterms:modified>
  <cp:revision>17</cp:revision>
  <dc:subject/>
  <dc:title>MEMO FORM</dc:title>
</cp:coreProperties>
</file>