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ind w:hanging="0" w:start="0"/>
        <w:rPr>
          <w:sz w:val="24"/>
        </w:rPr>
      </w:pPr>
      <w:r>
        <w:rPr>
          <w:sz w:val="24"/>
        </w:rPr>
        <w:t>Monthly Report</w:t>
      </w:r>
    </w:p>
    <w:p>
      <w:pPr>
        <w:pStyle w:val="Heading3"/>
        <w:ind w:hanging="0" w:start="0"/>
        <w:rPr>
          <w:sz w:val="24"/>
        </w:rPr>
      </w:pPr>
      <w:r>
        <w:rPr>
          <w:sz w:val="24"/>
        </w:rPr>
        <w:t>February 2001</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Heading3"/>
        <w:ind w:hanging="0" w:start="0"/>
        <w:rPr>
          <w:sz w:val="24"/>
        </w:rPr>
      </w:pPr>
      <w:r>
        <w:rPr>
          <w:sz w:val="24"/>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BodyText3"/>
        <w:rPr>
          <w:sz w:val="24"/>
        </w:rPr>
      </w:pPr>
      <w:r>
        <w:rPr>
          <w:sz w:val="24"/>
        </w:rPr>
        <w:t>This report summarizes current significant legal activities of ENA as of February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TRADING</w:t>
      </w:r>
    </w:p>
    <w:p>
      <w:pPr>
        <w:pStyle w:val="Heading5"/>
        <w:keepNext w:val="false"/>
        <w:ind w:hanging="0" w:start="0"/>
        <w:rPr/>
      </w:pPr>
      <w:r>
        <w:rPr>
          <w:sz w:val="24"/>
          <w:u w:val="none"/>
        </w:rPr>
        <w:tab/>
      </w:r>
      <w:r>
        <w:rPr>
          <w:sz w:val="24"/>
        </w:rPr>
        <w:t>Houston</w:t>
      </w:r>
    </w:p>
    <w:p>
      <w:pPr>
        <w:pStyle w:val="Normal"/>
        <w:numPr>
          <w:ilvl w:val="0"/>
          <w:numId w:val="9"/>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Power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Kevin Presto/Elizabeth Sager</w:t>
      </w:r>
    </w:p>
    <w:p>
      <w:pPr>
        <w:pStyle w:val="Normal"/>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EPMI reviewing certain high exposure power contracts for revision and conversion to EEI</w:t>
      </w:r>
    </w:p>
    <w:p>
      <w:pPr>
        <w:pStyle w:val="Normal"/>
        <w:numPr>
          <w:ilvl w:val="0"/>
          <w:numId w:val="9"/>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Gas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ENA reviewing certain high volume trading contracts for possible revision</w:t>
      </w:r>
    </w:p>
    <w:p>
      <w:pPr>
        <w:pStyle w:val="Normal"/>
        <w:numPr>
          <w:ilvl w:val="0"/>
          <w:numId w:val="9"/>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Duke Energy LNG Sales, Inc.</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Arbitration on price redetermination has been scheduled for early May</w:t>
      </w:r>
    </w:p>
    <w:p>
      <w:pPr>
        <w:pStyle w:val="Normal"/>
        <w:numPr>
          <w:ilvl w:val="0"/>
          <w:numId w:val="9"/>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Dominion Nuclear</w:t>
      </w:r>
    </w:p>
    <w:p>
      <w:pPr>
        <w:pStyle w:val="Normal"/>
        <w:numPr>
          <w:ilvl w:val="0"/>
          <w:numId w:val="31"/>
        </w:numPr>
        <w:tabs>
          <w:tab w:val="clear" w:pos="720"/>
          <w:tab w:val="left" w:pos="1260" w:leader="none"/>
        </w:tabs>
        <w:jc w:val="both"/>
        <w:rPr>
          <w:rFonts w:ascii="Times New Roman" w:hAnsi="Times New Roman" w:cs="Times New Roman"/>
          <w:sz w:val="24"/>
        </w:rPr>
      </w:pPr>
      <w:r>
        <w:rPr>
          <w:rFonts w:cs="Times New Roman" w:ascii="Times New Roman" w:hAnsi="Times New Roman"/>
          <w:sz w:val="24"/>
        </w:rPr>
        <w:t>Janice Moore/Elizabeth Sager</w:t>
      </w:r>
    </w:p>
    <w:p>
      <w:pPr>
        <w:pStyle w:val="Normal"/>
        <w:numPr>
          <w:ilvl w:val="0"/>
          <w:numId w:val="31"/>
        </w:numPr>
        <w:tabs>
          <w:tab w:val="clear" w:pos="720"/>
          <w:tab w:val="left" w:pos="1260" w:leader="none"/>
          <w:tab w:val="left" w:pos="2160" w:leader="none"/>
        </w:tabs>
        <w:ind w:hanging="1080" w:start="2160" w:end="0"/>
        <w:jc w:val="both"/>
        <w:rPr>
          <w:rFonts w:ascii="Times New Roman" w:hAnsi="Times New Roman" w:cs="Times New Roman"/>
          <w:sz w:val="24"/>
        </w:rPr>
      </w:pPr>
      <w:r>
        <w:rPr>
          <w:rFonts w:cs="Times New Roman" w:ascii="Times New Roman" w:hAnsi="Times New Roman"/>
          <w:sz w:val="24"/>
        </w:rPr>
        <w:t>Update:</w:t>
        <w:tab/>
        <w:t>EPMI negotiating with Dominion to purchase approximately 100 MW per hour unit contingent nuclear energy in NEPOOL from Dominion for up to 10 years</w:t>
      </w:r>
    </w:p>
    <w:p>
      <w:pPr>
        <w:pStyle w:val="Normal"/>
        <w:numPr>
          <w:ilvl w:val="0"/>
          <w:numId w:val="9"/>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New Albany Tolling</w:t>
      </w:r>
    </w:p>
    <w:p>
      <w:pPr>
        <w:pStyle w:val="Normal"/>
        <w:numPr>
          <w:ilvl w:val="0"/>
          <w:numId w:val="31"/>
        </w:numPr>
        <w:tabs>
          <w:tab w:val="clear" w:pos="720"/>
          <w:tab w:val="left" w:pos="1260" w:leader="none"/>
        </w:tabs>
        <w:jc w:val="both"/>
        <w:rPr>
          <w:rFonts w:ascii="Times New Roman" w:hAnsi="Times New Roman" w:cs="Times New Roman"/>
          <w:sz w:val="24"/>
        </w:rPr>
      </w:pPr>
      <w:r>
        <w:rPr>
          <w:rFonts w:cs="Times New Roman" w:ascii="Times New Roman" w:hAnsi="Times New Roman"/>
          <w:sz w:val="24"/>
        </w:rPr>
        <w:t>David Portz/Elizabeth Sager</w:t>
      </w:r>
    </w:p>
    <w:p>
      <w:pPr>
        <w:pStyle w:val="Normal"/>
        <w:numPr>
          <w:ilvl w:val="0"/>
          <w:numId w:val="31"/>
        </w:numPr>
        <w:tabs>
          <w:tab w:val="clear" w:pos="720"/>
          <w:tab w:val="left" w:pos="1260" w:leader="none"/>
          <w:tab w:val="left" w:pos="2160" w:leader="none"/>
        </w:tabs>
        <w:ind w:hanging="1080" w:start="2160" w:end="0"/>
        <w:jc w:val="both"/>
        <w:rPr>
          <w:rFonts w:ascii="Times New Roman" w:hAnsi="Times New Roman" w:cs="Times New Roman"/>
          <w:sz w:val="24"/>
        </w:rPr>
      </w:pPr>
      <w:r>
        <w:rPr>
          <w:rFonts w:cs="Times New Roman" w:ascii="Times New Roman" w:hAnsi="Times New Roman"/>
          <w:sz w:val="24"/>
        </w:rPr>
        <w:t>Update:</w:t>
        <w:tab/>
        <w:t>EPMI is seeking bids for up to a five (5)-year tolling deal involving the New Albany facility</w:t>
      </w:r>
    </w:p>
    <w:p>
      <w:pPr>
        <w:pStyle w:val="Heading5"/>
        <w:keepNext w:val="false"/>
        <w:spacing w:before="120" w:after="0"/>
        <w:ind w:hanging="0" w:start="0"/>
        <w:rPr/>
      </w:pPr>
      <w:r>
        <w:rPr>
          <w:sz w:val="24"/>
          <w:u w:val="none"/>
        </w:rPr>
        <w:tab/>
      </w:r>
      <w:r>
        <w:rPr>
          <w:sz w:val="24"/>
        </w:rPr>
        <w:t>Financial</w:t>
      </w:r>
    </w:p>
    <w:p>
      <w:pPr>
        <w:pStyle w:val="Normal"/>
        <w:numPr>
          <w:ilvl w:val="0"/>
          <w:numId w:val="2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 xml:space="preserve">Trade Credit Exposure </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Bill Bradford/Sara Shackleton/Mary Cook (Cadwalder, Wickersham &amp;Taft)</w:t>
      </w:r>
    </w:p>
    <w:p>
      <w:pPr>
        <w:pStyle w:val="EndnoteText"/>
        <w:numPr>
          <w:ilvl w:val="1"/>
          <w:numId w:val="2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Research regarding various methods available to minimize credit exposure and margin calls including cross-product, cross-entity and triangular netting and set-off arrangements</w:t>
      </w:r>
    </w:p>
    <w:p>
      <w:pPr>
        <w:pStyle w:val="Normal"/>
        <w:numPr>
          <w:ilvl w:val="0"/>
          <w:numId w:val="2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Commodity Exchange Act/CFTC</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John Lavorato/Mark Haedicke/Mark Taylor (Sullivan &amp; Cromwell)</w:t>
      </w:r>
    </w:p>
    <w:p>
      <w:pPr>
        <w:pStyle w:val="EndnoteText"/>
        <w:numPr>
          <w:ilvl w:val="1"/>
          <w:numId w:val="2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Commodity Futures Modernization Act signed into law in December.  Evaluating provisions of new law which should reduce regulation of OTC derivatives trading</w:t>
      </w:r>
    </w:p>
    <w:p>
      <w:pPr>
        <w:pStyle w:val="Normal"/>
        <w:numPr>
          <w:ilvl w:val="0"/>
          <w:numId w:val="29"/>
        </w:numPr>
        <w:tabs>
          <w:tab w:val="clear" w:pos="720"/>
        </w:tabs>
        <w:spacing w:before="120" w:after="0"/>
        <w:ind w:hanging="360" w:start="1080" w:end="0"/>
        <w:rPr>
          <w:rFonts w:ascii="Times New Roman" w:hAnsi="Times New Roman" w:cs="Times New Roman"/>
          <w:sz w:val="24"/>
        </w:rPr>
      </w:pPr>
      <w:r>
        <w:rPr>
          <w:rFonts w:cs="Times New Roman" w:ascii="Times New Roman" w:hAnsi="Times New Roman"/>
          <w:sz w:val="24"/>
        </w:rPr>
        <w:t>Agricultural Commodities Trading</w:t>
      </w:r>
    </w:p>
    <w:p>
      <w:pPr>
        <w:pStyle w:val="Normal"/>
        <w:tabs>
          <w:tab w:val="clear" w:pos="720"/>
          <w:tab w:val="left" w:pos="1260" w:leader="none"/>
        </w:tabs>
        <w:ind w:hanging="540" w:start="1620" w:end="0"/>
        <w:rPr>
          <w:rFonts w:ascii="Times New Roman" w:hAnsi="Times New Roman" w:cs="Times New Roman"/>
          <w:sz w:val="24"/>
        </w:rPr>
      </w:pPr>
      <w:r>
        <w:rPr>
          <w:rFonts w:cs="Times New Roman" w:ascii="Times New Roman" w:hAnsi="Times New Roman"/>
          <w:sz w:val="24"/>
        </w:rPr>
        <w:t>-</w:t>
        <w:tab/>
        <w:t>Gary Hickerson/Sara Shackleton/Robert Bruce</w:t>
      </w:r>
    </w:p>
    <w:p>
      <w:pPr>
        <w:pStyle w:val="EndnoteText"/>
        <w:numPr>
          <w:ilvl w:val="1"/>
          <w:numId w:val="29"/>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numPr>
          <w:ilvl w:val="0"/>
          <w:numId w:val="29"/>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Enron Corp. ISDA Master Agreements</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Clint Freel/Sara Shackleton</w:t>
      </w:r>
    </w:p>
    <w:p>
      <w:pPr>
        <w:pStyle w:val="EndnoteText"/>
        <w:numPr>
          <w:ilvl w:val="1"/>
          <w:numId w:val="2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Heading5"/>
        <w:keepNext w:val="false"/>
        <w:spacing w:before="120" w:after="0"/>
        <w:ind w:hanging="0" w:start="0"/>
        <w:jc w:val="both"/>
        <w:rPr/>
      </w:pPr>
      <w:r>
        <w:rPr>
          <w:sz w:val="24"/>
          <w:u w:val="none"/>
        </w:rPr>
        <w:tab/>
      </w:r>
      <w:r>
        <w:rPr>
          <w:sz w:val="24"/>
        </w:rPr>
        <w:t>Portland</w:t>
      </w:r>
    </w:p>
    <w:p>
      <w:pPr>
        <w:pStyle w:val="Normal"/>
        <w:numPr>
          <w:ilvl w:val="0"/>
          <w:numId w:val="13"/>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BPA</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Yoder//Richard Sanders</w:t>
      </w:r>
    </w:p>
    <w:p>
      <w:pPr>
        <w:pStyle w:val="EndnoteText"/>
        <w:numPr>
          <w:ilvl w:val="1"/>
          <w:numId w:val="2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13"/>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California Activities</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Yoder/Steve Hall/Elizabeth Sager/Richard Sanders</w:t>
      </w:r>
    </w:p>
    <w:p>
      <w:pPr>
        <w:pStyle w:val="EndnoteText"/>
        <w:numPr>
          <w:ilvl w:val="1"/>
          <w:numId w:val="29"/>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Working to review/assess trading activities in California and to minimize exposures with California counterparties</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NET WORKS</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1.</w:t>
        <w:tab/>
        <w:t>Enron Offline – Potential software sale or joint venture</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Greg Piper/Anne Koehler (Vinson &amp; Elkins)</w:t>
      </w:r>
    </w:p>
    <w:p>
      <w:pPr>
        <w:pStyle w:val="Normal"/>
        <w:widowContro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2.</w:t>
        <w:tab/>
        <w:t>EC Outlook – Adding to our equity holdings in EC Outlook as part of a sale of our EDI Hub technology</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Robert George</w:t>
      </w:r>
    </w:p>
    <w:p>
      <w:pPr>
        <w:pStyle w:val="Normal"/>
        <w:widowContro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 Update:</w:t>
        <w:tab/>
        <w:t>Agreements being negotiated</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3.</w:t>
        <w:tab/>
        <w:t>Commodity Logic</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Preparation of agreements for various phases of an internet platform providing back office services to users</w:t>
      </w:r>
    </w:p>
    <w:p>
      <w:pPr>
        <w:pStyle w:val="Normal"/>
        <w:widowControl/>
        <w:tabs>
          <w:tab w:val="clear" w:pos="720"/>
          <w:tab w:val="left" w:pos="1260" w:leader="none"/>
        </w:tabs>
        <w:spacing w:before="120" w:after="0"/>
        <w:ind w:start="720" w:end="0"/>
        <w:jc w:val="both"/>
        <w:rPr>
          <w:rFonts w:ascii="Times New Roman" w:hAnsi="Times New Roman" w:cs="Times New Roman"/>
          <w:sz w:val="24"/>
        </w:rPr>
      </w:pPr>
      <w:r>
        <w:rPr>
          <w:rFonts w:cs="Times New Roman" w:ascii="Times New Roman" w:hAnsi="Times New Roman"/>
          <w:sz w:val="24"/>
        </w:rPr>
        <w:t>4.</w:t>
        <w:tab/>
        <w:t>EnronOnline – North America</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260" w:leader="none"/>
        </w:tabs>
        <w:spacing w:before="120" w:after="0"/>
        <w:ind w:start="720" w:end="0"/>
        <w:jc w:val="both"/>
        <w:rPr>
          <w:rFonts w:ascii="Times New Roman" w:hAnsi="Times New Roman" w:cs="Times New Roman"/>
          <w:sz w:val="24"/>
        </w:rPr>
      </w:pPr>
      <w:r>
        <w:rPr>
          <w:rFonts w:cs="Times New Roman" w:ascii="Times New Roman" w:hAnsi="Times New Roman"/>
          <w:sz w:val="24"/>
        </w:rPr>
        <w:t>5.</w:t>
        <w:tab/>
        <w:t>Equity Investments</w:t>
      </w:r>
    </w:p>
    <w:p>
      <w:pPr>
        <w:pStyle w:val="Norma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Andy Zipper, Jay Fitzgerald/Travis McCullough (Vinson &amp; Elkins)</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Kiodex – documentation underway; eSpeed – negotiations for possible transaction underway</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EAST ORIGINATION &amp; MEXICO</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New Jersey Natural Gas – Possible joint venture to develop fuel cell projects in NJNG service area</w:t>
      </w:r>
    </w:p>
    <w:p>
      <w:pPr>
        <w:pStyle w:val="BodyText"/>
        <w:widowContro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letter of intent</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Co Op City – Development of a small power generation facility for a housing complex in New York, with subsequent asset management responsibilities</w:t>
      </w:r>
    </w:p>
    <w:p>
      <w:pPr>
        <w:pStyle w:val="BodyText"/>
        <w:widowContro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term sheet</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PSEG – Sale of two development sites in Illinois</w:t>
      </w:r>
    </w:p>
    <w:p>
      <w:pPr>
        <w:pStyle w:val="BodyText"/>
        <w:widowContro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Mann/Carlos Solé</w:t>
      </w:r>
    </w:p>
    <w:p>
      <w:pPr>
        <w:pStyle w:val="BodyText"/>
        <w:widowControl/>
        <w:numPr>
          <w:ilvl w:val="1"/>
          <w:numId w:val="29"/>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 xml:space="preserve">Parties are discussing definitive documents at this time. </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Stuart Zisman</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Peaker sales are complete (sale of Haywood, Tennessee site also complete)</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Expansion of Linden Power Plant (East Coast Power) and equity sell-down</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Lisa Mellencamp</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Negotiation of agreements for the construction and the permitting of expansions underway; negotiations for equity sell-down underway</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Fuel Cell Joint Venture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4"/>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LOI with Connecticut Resource Recovery Authority in place; definitive agreements in progress</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Hooser/Stuart Zisman</w:t>
      </w:r>
    </w:p>
    <w:p>
      <w:pPr>
        <w:pStyle w:val="BodyText"/>
        <w:widowControl/>
        <w:numPr>
          <w:ilvl w:val="0"/>
          <w:numId w:val="14"/>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Currently in discussions with AIG</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Steve Van Hooser</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ENA awaits response from LIPA on detailed term sheet</w:t>
      </w:r>
    </w:p>
    <w:p>
      <w:pPr>
        <w:pStyle w:val="BodyText"/>
        <w:widowControl/>
        <w:tabs>
          <w:tab w:val="clear" w:pos="720"/>
          <w:tab w:val="left" w:pos="1260" w:leader="none"/>
        </w:tabs>
        <w:spacing w:before="120" w:after="0"/>
        <w:ind w:start="360" w:end="0"/>
        <w:rPr>
          <w:rFonts w:ascii="Times New Roman" w:hAnsi="Times New Roman" w:cs="Times New Roman"/>
          <w:b/>
          <w:bCs/>
          <w:sz w:val="24"/>
          <w:u w:val="single"/>
        </w:rPr>
      </w:pPr>
      <w:r>
        <w:rPr>
          <w:rFonts w:cs="Times New Roman" w:ascii="Times New Roman" w:hAnsi="Times New Roman"/>
          <w:b/>
          <w:bCs/>
          <w:sz w:val="24"/>
          <w:u w:val="single"/>
        </w:rPr>
        <w:t>Mexico</w:t>
      </w:r>
    </w:p>
    <w:p>
      <w:pPr>
        <w:pStyle w:val="Normal"/>
        <w:widowControl/>
        <w:numPr>
          <w:ilvl w:val="0"/>
          <w:numId w:val="32"/>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Vitro Power Generation Transaction</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4"/>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Financial close with IDB occurred on 12/29/00.  Conditions Precedent to First Disbursement are currently being reviewed to assure satisfaction thereof within the next four to six weeks</w:t>
      </w:r>
    </w:p>
    <w:p>
      <w:pPr>
        <w:pStyle w:val="Normal"/>
        <w:widowControl/>
        <w:numPr>
          <w:ilvl w:val="0"/>
          <w:numId w:val="32"/>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4"/>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Internal review of the FAPSA PPA is ongoing prior to final negotiations of the PPA with FAPSA.  Fersinsa has executed an MOU and PPA.  Discussions with Fersinsa will begin following final internal review of the PPA format.  Three other Mexican companies have signed Confidentiality Agreements and MOU discussions are anticipated to begin soon</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Pastoria Energy Facility and expansion of LV Cogen and equity sell-down of Pastoria</w:t>
      </w:r>
    </w:p>
    <w:p>
      <w:pPr>
        <w:pStyle w:val="Normal"/>
        <w:widowControl/>
        <w:tabs>
          <w:tab w:val="clear" w:pos="720"/>
          <w:tab w:val="left" w:pos="1260" w:leader="none"/>
        </w:tabs>
        <w:ind w:hanging="360" w:start="1440" w:end="0"/>
        <w:jc w:val="both"/>
        <w:rPr>
          <w:rFonts w:ascii="Times New Roman" w:hAnsi="Times New Roman" w:cs="Times New Roman"/>
          <w:sz w:val="24"/>
        </w:rPr>
      </w:pPr>
      <w:r>
        <w:rPr>
          <w:rFonts w:cs="Times New Roman" w:ascii="Times New Roman" w:hAnsi="Times New Roman"/>
          <w:sz w:val="24"/>
        </w:rPr>
        <w:t>-</w:t>
        <w:tab/>
        <w:t>Karen Jones/Sheila Tweed</w:t>
      </w:r>
    </w:p>
    <w:p>
      <w:pPr>
        <w:pStyle w:val="Normal"/>
        <w:widowControl/>
        <w:numPr>
          <w:ilvl w:val="0"/>
          <w:numId w:val="14"/>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Negotiating the sale of Pastoria; negotiating a tolling agreement for LV Cogen’s expansion; outstanding water issue has held up the signing of a purchase and sale agreement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combined cycle plant at Roseville, CA</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Bob Carter</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 and equipment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combined cycle plant at Port of Longview, Washington and sale</w:t>
      </w:r>
    </w:p>
    <w:p>
      <w:pPr>
        <w:pStyle w:val="BodyText"/>
        <w:widowControl/>
        <w:numPr>
          <w:ilvl w:val="0"/>
          <w:numId w:val="14"/>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Dale Rasmussen/Sheila Tweed</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Permitting site and acquiring equipment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Power Plant Development in Colorado for long-term PPA with PSCO</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Al Larsen/Sheila Tweed</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PPA has been executed; project is in development for 7/01 start date; purchase and sale agreement has been signed and closing scheduled for 3/30/01</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TurboPark funding vehicle for equipment procurement, development and construction of power plants</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Sheila Tweed</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Facility has been established and equipment transferred as of 12/15/00.  The PSCO Project was sold into TurboPark on 1/19/01</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UPSTREAM ORIGINATION AND HPL</w:t>
      </w:r>
    </w:p>
    <w:p>
      <w:pPr>
        <w:pStyle w:val="Normal"/>
        <w:widowControl/>
        <w:numPr>
          <w:ilvl w:val="0"/>
          <w:numId w:val="2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Project Triple Lutz – Sale of HPL and related assets</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Barbara Gray/Anne Koehler</w:t>
      </w:r>
    </w:p>
    <w:p>
      <w:pPr>
        <w:pStyle w:val="BodyText"/>
        <w:widowControl/>
        <w:tabs>
          <w:tab w:val="clear" w:pos="720"/>
          <w:tab w:val="left" w:pos="1260" w:leader="none"/>
        </w:tabs>
        <w:ind w:hanging="1080" w:start="2160" w:end="0"/>
        <w:rPr/>
      </w:pPr>
      <w:r>
        <w:rPr>
          <w:rFonts w:cs="Times New Roman" w:ascii="Times New Roman" w:hAnsi="Times New Roman"/>
          <w:sz w:val="24"/>
        </w:rPr>
        <w:t>-</w:t>
        <w:tab/>
        <w:t>Update:</w:t>
        <w:tab/>
        <w:t>Executed definitive agreement on 1/11/01 with AEP; closing likely in 2</w:t>
      </w:r>
      <w:r>
        <w:rPr>
          <w:rFonts w:cs="Times New Roman" w:ascii="Times New Roman" w:hAnsi="Times New Roman"/>
          <w:sz w:val="24"/>
          <w:vertAlign w:val="superscript"/>
        </w:rPr>
        <w:t>nd</w:t>
      </w:r>
      <w:r>
        <w:rPr>
          <w:rFonts w:cs="Times New Roman" w:ascii="Times New Roman" w:hAnsi="Times New Roman"/>
          <w:sz w:val="24"/>
        </w:rPr>
        <w:t xml:space="preserve"> Qtr. 2001</w:t>
      </w:r>
    </w:p>
    <w:p>
      <w:pPr>
        <w:pStyle w:val="Normal"/>
        <w:widowControl/>
        <w:numPr>
          <w:ilvl w:val="0"/>
          <w:numId w:val="2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Project 20/20 - Sale of Wyoming gathering assets/entities to Northern Border</w:t>
      </w:r>
    </w:p>
    <w:p>
      <w:pPr>
        <w:pStyle w:val="BodyText"/>
        <w:widowControl/>
        <w:tabs>
          <w:tab w:val="clear" w:pos="720"/>
          <w:tab w:val="left" w:pos="0" w:leader="none"/>
          <w:tab w:val="left" w:pos="450" w:leader="none"/>
          <w:tab w:val="left" w:pos="1260" w:leader="none"/>
        </w:tabs>
        <w:ind w:hanging="360" w:start="1080" w:end="0"/>
        <w:rPr>
          <w:rFonts w:ascii="Times New Roman" w:hAnsi="Times New Roman" w:cs="Times New Roman"/>
          <w:sz w:val="24"/>
        </w:rPr>
      </w:pPr>
      <w:r>
        <w:rPr>
          <w:rFonts w:cs="Times New Roman" w:ascii="Times New Roman" w:hAnsi="Times New Roman"/>
          <w:sz w:val="24"/>
        </w:rPr>
        <w:tab/>
        <w:t>-</w:t>
        <w:tab/>
        <w:t>Barbara Gray/Shonnie Daniel</w:t>
      </w:r>
    </w:p>
    <w:p>
      <w:pPr>
        <w:pStyle w:val="BodyText"/>
        <w:widowControl/>
        <w:tabs>
          <w:tab w:val="clear" w:pos="720"/>
          <w:tab w:val="left" w:pos="1260" w:leader="none"/>
        </w:tabs>
        <w:ind w:hanging="1080" w:start="2160" w:end="0"/>
        <w:rPr/>
      </w:pPr>
      <w:r>
        <w:rPr>
          <w:rFonts w:cs="Times New Roman" w:ascii="Times New Roman" w:hAnsi="Times New Roman"/>
          <w:sz w:val="24"/>
        </w:rPr>
        <w:t>-</w:t>
        <w:tab/>
        <w:t>Update:</w:t>
        <w:tab/>
        <w:t>Project closed 3</w:t>
      </w:r>
      <w:r>
        <w:rPr>
          <w:rFonts w:cs="Times New Roman" w:ascii="Times New Roman" w:hAnsi="Times New Roman"/>
          <w:sz w:val="24"/>
          <w:vertAlign w:val="superscript"/>
        </w:rPr>
        <w:t>rd</w:t>
      </w:r>
      <w:r>
        <w:rPr>
          <w:rFonts w:cs="Times New Roman" w:ascii="Times New Roman" w:hAnsi="Times New Roman"/>
          <w:sz w:val="24"/>
        </w:rPr>
        <w:t xml:space="preserve"> Qtr.– post-closing obligations still underway</w:t>
      </w:r>
    </w:p>
    <w:p>
      <w:pPr>
        <w:pStyle w:val="Normal"/>
        <w:widowControl/>
        <w:numPr>
          <w:ilvl w:val="0"/>
          <w:numId w:val="2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HPL Accounting Department</w:t>
      </w:r>
    </w:p>
    <w:p>
      <w:pPr>
        <w:pStyle w:val="EndnoteText"/>
        <w:tabs>
          <w:tab w:val="clear" w:pos="720"/>
          <w:tab w:val="left" w:pos="1260" w:leader="none"/>
          <w:tab w:val="left" w:pos="180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HPL has decided to pay certain taxes relating to a monetization of the gas in the Bammel Storage Facility</w:t>
      </w:r>
    </w:p>
    <w:p>
      <w:pPr>
        <w:pStyle w:val="Normal"/>
        <w:widowControl/>
        <w:numPr>
          <w:ilvl w:val="0"/>
          <w:numId w:val="24"/>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Barbara Gray/Eileen Kiss</w:t>
      </w:r>
    </w:p>
    <w:p>
      <w:pPr>
        <w:pStyle w:val="EndnoteText"/>
        <w:tabs>
          <w:tab w:val="clear" w:pos="720"/>
          <w:tab w:val="left" w:pos="1260" w:leader="none"/>
          <w:tab w:val="left" w:pos="180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FINANCE/M&amp;A/ENERGY INVESTMENTS</w:t>
      </w:r>
    </w:p>
    <w:p>
      <w:pPr>
        <w:pStyle w:val="Normal"/>
        <w:widowControl/>
        <w:numPr>
          <w:ilvl w:val="0"/>
          <w:numId w:val="6"/>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ind w:start="720" w:end="0"/>
        <w:jc w:val="both"/>
        <w:rPr>
          <w:rFonts w:ascii="Times New Roman" w:hAnsi="Times New Roman" w:cs="Times New Roman"/>
          <w:sz w:val="24"/>
        </w:rPr>
      </w:pPr>
      <w:r>
        <w:rPr>
          <w:rFonts w:cs="Times New Roman" w:ascii="Times New Roman" w:hAnsi="Times New Roman"/>
          <w:sz w:val="24"/>
        </w:rPr>
        <w:tab/>
        <w:t>-</w:t>
        <w:tab/>
        <w:t>Lisa Mellencamp/Angela Davis</w:t>
      </w:r>
    </w:p>
    <w:p>
      <w:pPr>
        <w:pStyle w:val="Normal"/>
        <w:widowControl/>
        <w:tabs>
          <w:tab w:val="clear" w:pos="720"/>
          <w:tab w:val="left" w:pos="1080" w:leader="none"/>
          <w:tab w:val="left" w:pos="1260" w:leader="none"/>
        </w:tabs>
        <w:ind w:hanging="1440" w:start="2160" w:end="0"/>
        <w:jc w:val="both"/>
        <w:rPr>
          <w:rFonts w:ascii="Times New Roman" w:hAnsi="Times New Roman" w:cs="Times New Roman"/>
          <w:sz w:val="24"/>
        </w:rPr>
      </w:pPr>
      <w:r>
        <w:rPr>
          <w:rFonts w:cs="Times New Roman" w:ascii="Times New Roman" w:hAnsi="Times New Roman"/>
          <w:sz w:val="24"/>
        </w:rPr>
        <w:tab/>
        <w:t>-</w:t>
        <w:tab/>
        <w:t>Update:  Agreements under negotiation</w:t>
      </w:r>
    </w:p>
    <w:p>
      <w:pPr>
        <w:pStyle w:val="Normal"/>
        <w:widowControl/>
        <w:numPr>
          <w:ilvl w:val="0"/>
          <w:numId w:val="6"/>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Acquisition and Disposition Transactions - Variety of transactions including:</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ab/>
        <w:t>Webmodal, Inc. - $12MM acquisition of online transportation procurement company; signed during week of 2/5/01</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Jim Grace/ (Gardere Wynne)</w:t>
      </w:r>
    </w:p>
    <w:p>
      <w:pPr>
        <w:pStyle w:val="BodyText"/>
        <w:widowControl/>
        <w:numPr>
          <w:ilvl w:val="0"/>
          <w:numId w:val="14"/>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   Closing to take place on March 2 after Webmodal's stockholder vote approving merger</w:t>
      </w:r>
    </w:p>
    <w:p>
      <w:pPr>
        <w:pStyle w:val="BodyText"/>
        <w:widowControl/>
        <w:tabs>
          <w:tab w:val="clear" w:pos="720"/>
          <w:tab w:val="left" w:pos="1080" w:leader="none"/>
          <w:tab w:val="left" w:pos="1260" w:leader="none"/>
        </w:tabs>
        <w:spacing w:before="120" w:after="0"/>
        <w:ind w:start="1080" w:end="0"/>
        <w:rPr>
          <w:rFonts w:ascii="Times New Roman" w:hAnsi="Times New Roman" w:cs="Times New Roman"/>
          <w:sz w:val="24"/>
        </w:rPr>
      </w:pPr>
      <w:r>
        <w:rPr>
          <w:rFonts w:cs="Times New Roman" w:ascii="Times New Roman" w:hAnsi="Times New Roman"/>
          <w:sz w:val="24"/>
        </w:rPr>
        <w:t>Nutech – 6% purchase of partnership interest in company that reinterprets seismic data</w:t>
      </w:r>
    </w:p>
    <w:p>
      <w:pPr>
        <w:pStyle w:val="BodyText"/>
        <w:widowControl/>
        <w:numPr>
          <w:ilvl w:val="0"/>
          <w:numId w:val="14"/>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Jim Grace (Locke Liddell Sapp)</w:t>
      </w:r>
    </w:p>
    <w:p>
      <w:pPr>
        <w:pStyle w:val="BodyText"/>
        <w:widowControl/>
        <w:numPr>
          <w:ilvl w:val="0"/>
          <w:numId w:val="14"/>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Update:  To close week of 2/19/01</w:t>
      </w:r>
    </w:p>
    <w:p>
      <w:pPr>
        <w:pStyle w:val="BodyText"/>
        <w:widowControl/>
        <w:numPr>
          <w:ilvl w:val="0"/>
          <w:numId w:val="6"/>
        </w:numPr>
        <w:tabs>
          <w:tab w:val="clear" w:pos="720"/>
          <w:tab w:val="left" w:pos="1260" w:leader="none"/>
        </w:tabs>
        <w:spacing w:before="120" w:after="0"/>
        <w:rPr>
          <w:rFonts w:ascii="Times New Roman" w:hAnsi="Times New Roman" w:cs="Times New Roman"/>
          <w:sz w:val="24"/>
        </w:rPr>
      </w:pPr>
      <w:r>
        <w:rPr>
          <w:rFonts w:cs="Times New Roman" w:ascii="Times New Roman" w:hAnsi="Times New Roman"/>
          <w:sz w:val="24"/>
        </w:rPr>
        <w:t xml:space="preserve">HEOF II Matters –Investments in minority-owned businesses:  </w:t>
      </w:r>
    </w:p>
    <w:p>
      <w:pPr>
        <w:pStyle w:val="BodyText"/>
        <w:widowControl/>
        <w:tabs>
          <w:tab w:val="clear" w:pos="720"/>
          <w:tab w:val="left" w:pos="1260" w:leader="none"/>
        </w:tabs>
        <w:spacing w:before="120" w:after="0"/>
        <w:ind w:start="1080" w:end="0"/>
        <w:rPr>
          <w:rFonts w:ascii="Times New Roman" w:hAnsi="Times New Roman" w:cs="Times New Roman"/>
          <w:sz w:val="24"/>
        </w:rPr>
      </w:pPr>
      <w:r>
        <w:rPr>
          <w:rFonts w:cs="Times New Roman" w:ascii="Times New Roman" w:hAnsi="Times New Roman"/>
          <w:sz w:val="24"/>
        </w:rPr>
        <w:t>Creole Shack – Negotiating conversion of general partner into limited partner; and replacement of general partner or manager with a group from Cabo's restaurant</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Jim Grace/ (Locke Liddell Sapp)</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Update:  Will close 1</w:t>
      </w:r>
      <w:r>
        <w:rPr>
          <w:rFonts w:cs="Times New Roman" w:ascii="Times New Roman" w:hAnsi="Times New Roman"/>
          <w:sz w:val="24"/>
          <w:vertAlign w:val="superscript"/>
        </w:rPr>
        <w:t>st</w:t>
      </w:r>
      <w:r>
        <w:rPr>
          <w:rFonts w:cs="Times New Roman" w:ascii="Times New Roman" w:hAnsi="Times New Roman"/>
          <w:sz w:val="24"/>
        </w:rPr>
        <w:t xml:space="preserve"> Qtr. 2001</w:t>
      </w:r>
    </w:p>
    <w:p>
      <w:pPr>
        <w:pStyle w:val="Normal"/>
        <w:widowControl/>
        <w:tabs>
          <w:tab w:val="clear" w:pos="720"/>
          <w:tab w:val="left" w:pos="1260" w:leader="none"/>
        </w:tabs>
        <w:spacing w:before="120" w:after="0"/>
        <w:ind w:hanging="360" w:start="1080" w:end="0"/>
        <w:jc w:val="both"/>
        <w:rPr/>
      </w:pPr>
      <w:r>
        <w:rPr>
          <w:rFonts w:cs="Times New Roman" w:ascii="Times New Roman" w:hAnsi="Times New Roman"/>
          <w:sz w:val="24"/>
        </w:rPr>
        <w:t>4.</w:t>
        <w:tab/>
      </w:r>
      <w:r>
        <w:rPr>
          <w:rFonts w:cs="Arial" w:ascii="Times New Roman" w:hAnsi="Times New Roman"/>
          <w:sz w:val="24"/>
        </w:rPr>
        <w:t>P</w:t>
      </w:r>
      <w:r>
        <w:rPr>
          <w:rFonts w:cs="Times New Roman" w:ascii="Times New Roman" w:hAnsi="Times New Roman"/>
          <w:sz w:val="24"/>
        </w:rPr>
        <w:t>roduction Payments – Variety of transactions involving production payments</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Teresa Bushman</w:t>
      </w:r>
    </w:p>
    <w:p>
      <w:pPr>
        <w:pStyle w:val="BodyText"/>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  Purchase of $175 MM production payment from KCS Energy to close in February</w:t>
      </w:r>
    </w:p>
    <w:p>
      <w:pPr>
        <w:pStyle w:val="BodyText"/>
        <w:widowContro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r>
    </w:p>
    <w:p>
      <w:pPr>
        <w:pStyle w:val="BodyTextIndent"/>
        <w:tabs>
          <w:tab w:val="clear" w:pos="1080"/>
          <w:tab w:val="left" w:pos="1260" w:leader="none"/>
        </w:tabs>
        <w:rPr>
          <w:sz w:val="24"/>
        </w:rPr>
      </w:pPr>
      <w:r>
        <w:rPr>
          <w:sz w:val="24"/>
        </w:rPr>
        <w:t>5.</w:t>
        <w:tab/>
        <w:t>Merchant Portfolio Matters – Continued dispositions and monetizations of the ENA merchant portfolio including transfers of assets to Condor vehicle (Project Velocity) and sales/restructurings of special assets</w:t>
      </w:r>
    </w:p>
    <w:p>
      <w:pPr>
        <w:pStyle w:val="Normal"/>
        <w:widowControl/>
        <w:tabs>
          <w:tab w:val="clear" w:pos="720"/>
          <w:tab w:val="left" w:pos="1080" w:leader="none"/>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Travis McCullough/Lisa Mellencamp</w:t>
      </w:r>
    </w:p>
    <w:p>
      <w:pPr>
        <w:pStyle w:val="BodyText"/>
        <w:widowControl/>
        <w:numPr>
          <w:ilvl w:val="0"/>
          <w:numId w:val="14"/>
        </w:numPr>
        <w:tabs>
          <w:tab w:val="clear" w:pos="720"/>
          <w:tab w:val="left" w:pos="1260" w:leader="none"/>
        </w:tabs>
        <w:rPr>
          <w:rFonts w:ascii="Times New Roman" w:hAnsi="Times New Roman" w:cs="Times New Roman"/>
          <w:sz w:val="24"/>
        </w:rPr>
      </w:pPr>
      <w:r>
        <w:rPr>
          <w:rFonts w:cs="Times New Roman" w:ascii="Times New Roman" w:hAnsi="Times New Roman"/>
          <w:sz w:val="24"/>
        </w:rPr>
        <w:t>Update:  Essentially done; finishing year end details</w:t>
      </w:r>
    </w:p>
    <w:p>
      <w:pPr>
        <w:pStyle w:val="BodyText"/>
        <w:widowControl/>
        <w:tabs>
          <w:tab w:val="clear" w:pos="720"/>
          <w:tab w:val="left" w:pos="1260" w:leader="none"/>
        </w:tabs>
        <w:ind w:start="1080" w:end="0"/>
        <w:rPr>
          <w:rFonts w:ascii="Times New Roman" w:hAnsi="Times New Roman" w:cs="Times New Roman"/>
          <w:sz w:val="24"/>
        </w:rPr>
      </w:pPr>
      <w:r>
        <w:rPr>
          <w:rFonts w:cs="Times New Roman" w:ascii="Times New Roman" w:hAnsi="Times New Roman"/>
          <w:sz w:val="24"/>
        </w:rPr>
      </w:r>
    </w:p>
    <w:p>
      <w:pPr>
        <w:pStyle w:val="BodyText"/>
        <w:widowControl/>
        <w:tabs>
          <w:tab w:val="clear" w:pos="720"/>
          <w:tab w:val="left" w:pos="1260" w:leader="none"/>
        </w:tabs>
        <w:ind w:hanging="360" w:start="1080" w:end="0"/>
        <w:rPr>
          <w:rFonts w:ascii="Times New Roman" w:hAnsi="Times New Roman" w:cs="Times New Roman"/>
          <w:sz w:val="24"/>
        </w:rPr>
      </w:pPr>
      <w:r>
        <w:rPr>
          <w:rFonts w:cs="Times New Roman" w:ascii="Times New Roman" w:hAnsi="Times New Roman"/>
          <w:sz w:val="24"/>
        </w:rPr>
        <w:t>6.</w:t>
        <w:tab/>
        <w:t>East Coast Power – Sale of power generation assets</w:t>
      </w:r>
    </w:p>
    <w:p>
      <w:pPr>
        <w:pStyle w:val="BodyText"/>
        <w:widowControl/>
        <w:numPr>
          <w:ilvl w:val="0"/>
          <w:numId w:val="14"/>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Lisa Mellencamp</w:t>
      </w:r>
    </w:p>
    <w:p>
      <w:pPr>
        <w:pStyle w:val="BodyText"/>
        <w:widowControl/>
        <w:numPr>
          <w:ilvl w:val="0"/>
          <w:numId w:val="14"/>
        </w:numPr>
        <w:tabs>
          <w:tab w:val="clear" w:pos="720"/>
          <w:tab w:val="left" w:pos="1080" w:leader="none"/>
          <w:tab w:val="left" w:pos="1260" w:leader="none"/>
        </w:tabs>
        <w:rPr>
          <w:rFonts w:ascii="Times New Roman" w:hAnsi="Times New Roman" w:cs="Times New Roman"/>
          <w:sz w:val="24"/>
        </w:rPr>
      </w:pPr>
      <w:r>
        <w:rPr>
          <w:rFonts w:cs="Times New Roman" w:ascii="Times New Roman" w:hAnsi="Times New Roman"/>
          <w:sz w:val="24"/>
        </w:rPr>
        <w:t>Update:  Sale pending; waiting on last condition precedent to be met; closing expected week of 2/20/01</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LITIGATION</w:t>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bookmarkStart w:id="0" w:name="StartOfMemo"/>
      <w:bookmarkStart w:id="1" w:name="StartOfMemo"/>
      <w:bookmarkEnd w:id="1"/>
    </w:p>
    <w:p>
      <w:pPr>
        <w:pStyle w:val="BodyText"/>
        <w:rPr>
          <w:rFonts w:ascii="Times New Roman" w:hAnsi="Times New Roman" w:cs="Times New Roman"/>
          <w:iCs/>
          <w:sz w:val="24"/>
        </w:rPr>
      </w:pPr>
      <w:r>
        <w:rPr>
          <w:rFonts w:cs="Times New Roman" w:ascii="Times New Roman" w:hAnsi="Times New Roman"/>
          <w:iCs/>
          <w:sz w:val="24"/>
        </w:rPr>
        <w:t>(Text of “Status of ENA Litigation” Report to Mark Haedicke dated January 25, 2001)</w:t>
      </w:r>
    </w:p>
    <w:p>
      <w:pPr>
        <w:pStyle w:val="Normal"/>
        <w:jc w:val="both"/>
        <w:rPr>
          <w:rFonts w:ascii="Times New Roman" w:hAnsi="Times New Roman" w:cs="Times New Roman"/>
          <w:i/>
          <w:i/>
          <w:iCs/>
          <w:sz w:val="24"/>
          <w:u w:val="single"/>
        </w:rPr>
      </w:pPr>
      <w:r>
        <w:rPr>
          <w:rFonts w:cs="Times New Roman" w:ascii="Times New Roman" w:hAnsi="Times New Roman"/>
          <w:i/>
          <w:iCs/>
          <w:sz w:val="24"/>
          <w:u w:val="single"/>
        </w:rPr>
      </w:r>
    </w:p>
    <w:p>
      <w:pPr>
        <w:pStyle w:val="Body"/>
        <w:ind w:start="0" w:end="0"/>
        <w:rPr>
          <w:rFonts w:ascii="Times New Roman" w:hAnsi="Times New Roman" w:cs="Times New Roman"/>
          <w:b/>
          <w:sz w:val="24"/>
        </w:rPr>
      </w:pPr>
      <w:r>
        <w:rPr>
          <w:rFonts w:cs="Times New Roman" w:ascii="Times New Roman" w:hAnsi="Times New Roman"/>
          <w:b/>
          <w:sz w:val="24"/>
        </w:rPr>
        <w:t>ACTIVE LITIGATION</w:t>
      </w:r>
    </w:p>
    <w:p>
      <w:pPr>
        <w:pStyle w:val="Body"/>
        <w:ind w:start="0" w:end="0"/>
        <w:rPr>
          <w:rFonts w:ascii="Times New Roman" w:hAnsi="Times New Roman" w:cs="Times New Roman"/>
          <w:b/>
          <w:sz w:val="24"/>
          <w:u w:val="single"/>
        </w:rPr>
      </w:pPr>
      <w:r>
        <w:rPr>
          <w:rFonts w:cs="Times New Roman" w:ascii="Times New Roman" w:hAnsi="Times New Roman"/>
          <w:b/>
          <w:sz w:val="24"/>
          <w:u w:val="single"/>
        </w:rPr>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t>Berry Group, Ltd v. Enron North America</w:t>
      </w:r>
    </w:p>
    <w:p>
      <w:pPr>
        <w:pStyle w:val="Body"/>
        <w:ind w:start="0" w:end="0"/>
        <w:rPr>
          <w:rFonts w:ascii="Times New Roman" w:hAnsi="Times New Roman" w:cs="Times New Roman"/>
          <w:bCs/>
          <w:color w:val="000000"/>
          <w:sz w:val="24"/>
        </w:rPr>
      </w:pPr>
      <w:r>
        <w:rPr>
          <w:rFonts w:cs="Times New Roman" w:ascii="Times New Roman" w:hAnsi="Times New Roman"/>
          <w:bCs/>
          <w:color w:val="000000"/>
          <w:sz w:val="24"/>
        </w:rPr>
        <w:t>(Corpus Christi State District Court) (Bracewell &amp; Patterson/Cliff Gunter)</w:t>
      </w:r>
    </w:p>
    <w:p>
      <w:pPr>
        <w:pStyle w:val="Body"/>
        <w:ind w:start="0" w:end="0"/>
        <w:rPr>
          <w:rFonts w:ascii="Times New Roman" w:hAnsi="Times New Roman" w:cs="Times New Roman"/>
          <w:bCs/>
          <w:color w:val="000000"/>
          <w:sz w:val="24"/>
          <w:u w:val="single"/>
        </w:rPr>
      </w:pPr>
      <w:r>
        <w:rPr>
          <w:rFonts w:cs="Times New Roman" w:ascii="Times New Roman" w:hAnsi="Times New Roman"/>
          <w:bCs/>
          <w:color w:val="000000"/>
          <w:sz w:val="24"/>
          <w:u w:val="single"/>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Berry Group is a Corpus Christi based company that lost over $6 million in the Qualitech bankruptcy.</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Berry alleges that Enron, through Kevin McConville, represented to the Berrys that Enron would pay for any losses the Berry’s incurred as a result of Qualitech bankruptcy.</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Kevin McConville’s deposition took place on January 11, 2001.  His testimony was favorable to Enron.</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Heading1"/>
        <w:tabs>
          <w:tab w:val="clear" w:pos="720"/>
          <w:tab w:val="left" w:pos="5106" w:leader="none"/>
          <w:tab w:val="left" w:pos="7254" w:leader="none"/>
        </w:tabs>
        <w:ind w:start="0" w:end="0"/>
        <w:rPr>
          <w:b w:val="false"/>
          <w:bCs/>
          <w:i/>
          <w:i/>
          <w:iCs/>
          <w:sz w:val="24"/>
        </w:rPr>
      </w:pPr>
      <w:r>
        <w:rPr>
          <w:b w:val="false"/>
          <w:bCs/>
          <w:i/>
          <w:iCs/>
          <w:sz w:val="24"/>
        </w:rPr>
        <w:t>CATS Litigation</w:t>
      </w:r>
    </w:p>
    <w:p>
      <w:pPr>
        <w:pStyle w:val="Normal"/>
        <w:jc w:val="both"/>
        <w:rPr>
          <w:rFonts w:ascii="Times New Roman" w:hAnsi="Times New Roman" w:cs="Times New Roman"/>
          <w:bCs/>
          <w:sz w:val="24"/>
        </w:rPr>
      </w:pPr>
      <w:r>
        <w:rPr>
          <w:rFonts w:cs="Times New Roman" w:ascii="Times New Roman" w:hAnsi="Times New Roman"/>
          <w:bCs/>
          <w:sz w:val="24"/>
        </w:rPr>
        <w:t>(House of Lords)</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The appellate court reversed the lower court ruling and ordered the CATS parties to repay Enron approximately $130 million.</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An appeal to the House of Lords was filed on or about September 1, 1999.</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The House of Lords granted the CATS parties request to hear the entire appeal of the appellate court’s ruling.  The appeal is scheduled to be heard on March 12, 2001.</w:t>
      </w:r>
      <w:r>
        <w:br w:type="page"/>
      </w:r>
    </w:p>
    <w:p>
      <w:pPr>
        <w:pStyle w:val="Heading7"/>
        <w:ind w:hanging="0" w:start="0"/>
        <w:rPr>
          <w:rFonts w:ascii="Times New Roman" w:hAnsi="Times New Roman" w:cs="Times New Roman"/>
          <w:b w:val="false"/>
          <w:bCs/>
          <w:sz w:val="24"/>
        </w:rPr>
      </w:pPr>
      <w:r>
        <w:rPr>
          <w:rFonts w:cs="Times New Roman" w:ascii="Times New Roman" w:hAnsi="Times New Roman"/>
          <w:b w:val="false"/>
          <w:bCs/>
          <w:sz w:val="24"/>
        </w:rPr>
      </w:r>
    </w:p>
    <w:p>
      <w:pPr>
        <w:pStyle w:val="Heading7"/>
        <w:ind w:hanging="0" w:start="0"/>
        <w:rPr>
          <w:rFonts w:ascii="Times New Roman" w:hAnsi="Times New Roman" w:cs="Times New Roman"/>
          <w:b w:val="false"/>
          <w:bCs/>
          <w:sz w:val="24"/>
        </w:rPr>
      </w:pPr>
      <w:r>
        <w:rPr>
          <w:rFonts w:cs="Times New Roman" w:ascii="Times New Roman" w:hAnsi="Times New Roman"/>
          <w:b w:val="false"/>
          <w:bCs/>
          <w:sz w:val="24"/>
        </w:rPr>
        <w:t>Citrus v. Duke LNG Sales Dispute</w:t>
      </w:r>
    </w:p>
    <w:p>
      <w:pPr>
        <w:pStyle w:val="Normal"/>
        <w:jc w:val="both"/>
        <w:rPr>
          <w:rFonts w:ascii="Times New Roman" w:hAnsi="Times New Roman" w:cs="Times New Roman"/>
          <w:bCs/>
          <w:sz w:val="24"/>
        </w:rPr>
      </w:pPr>
      <w:r>
        <w:rPr>
          <w:rFonts w:cs="Times New Roman" w:ascii="Times New Roman" w:hAnsi="Times New Roman"/>
          <w:bCs/>
          <w:sz w:val="24"/>
        </w:rPr>
        <w:t>(AAA Arbitration) (Susman Godfrey/Neal Manne)</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Duke’s position in arbitration is that the price cap provisions in the contract are void and that Duke is entitled to either receive a market price or cancel the contract.</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The market-to-market value to Enron is over $150 million.</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Both sides have chosen arbitrators.  Enron chose Mike Beatty.  The neutral arbitrator is Joe Morris, former Federal District Judge and General Counsel of Shell.</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The arbitration is expected to take place in the second quarter of 2001.</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t>Dennis McKenna v. ECT</w:t>
      </w:r>
    </w:p>
    <w:p>
      <w:pPr>
        <w:pStyle w:val="Normal"/>
        <w:jc w:val="both"/>
        <w:rPr>
          <w:rFonts w:ascii="Times New Roman" w:hAnsi="Times New Roman" w:cs="Times New Roman"/>
          <w:bCs/>
          <w:sz w:val="24"/>
        </w:rPr>
      </w:pPr>
      <w:r>
        <w:rPr>
          <w:rFonts w:cs="Times New Roman" w:ascii="Times New Roman" w:hAnsi="Times New Roman"/>
          <w:bCs/>
          <w:sz w:val="24"/>
        </w:rPr>
        <w:t>(AAA Arbitration in Harris County) (</w:t>
      </w:r>
      <w:r>
        <w:rPr>
          <w:rFonts w:cs="Times New Roman" w:ascii="Times New Roman" w:hAnsi="Times New Roman"/>
          <w:bCs/>
          <w:color w:val="000000"/>
          <w:sz w:val="24"/>
          <w:szCs w:val="18"/>
        </w:rPr>
        <w:t>Bracewell &amp; Patterson/Ileana Blanco)</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25"/>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25"/>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and McKenna parted ways in 1998.  When McKenna heard about the Vitro project, he requested that ECT pay him the success fee.  ECT refused and McKenna has filed for arbitration</w:t>
      </w:r>
    </w:p>
    <w:p>
      <w:pPr>
        <w:pStyle w:val="Normal"/>
        <w:tabs>
          <w:tab w:val="clear" w:pos="720"/>
          <w:tab w:val="left" w:pos="1080" w:leader="none"/>
        </w:tabs>
        <w:jc w:val="both"/>
        <w:rPr>
          <w:rFonts w:ascii="Times New Roman" w:hAnsi="Times New Roman" w:cs="Times New Roman"/>
          <w:bCs/>
          <w:sz w:val="24"/>
        </w:rPr>
      </w:pPr>
      <w:r>
        <w:rPr>
          <w:rFonts w:cs="Times New Roman" w:ascii="Times New Roman" w:hAnsi="Times New Roman"/>
          <w:bCs/>
          <w:sz w:val="24"/>
        </w:rPr>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t>Dow Waiver Litigation</w:t>
      </w:r>
    </w:p>
    <w:p>
      <w:pPr>
        <w:pStyle w:val="Normal"/>
        <w:jc w:val="both"/>
        <w:rPr>
          <w:rFonts w:ascii="Times New Roman" w:hAnsi="Times New Roman" w:cs="Times New Roman"/>
          <w:bCs/>
          <w:sz w:val="24"/>
        </w:rPr>
      </w:pPr>
      <w:r>
        <w:rPr>
          <w:rFonts w:cs="Times New Roman" w:ascii="Times New Roman" w:hAnsi="Times New Roman"/>
          <w:bCs/>
          <w:sz w:val="24"/>
        </w:rPr>
        <w:t>(Houston state court) (Susman Godfrey/Bracewell &amp; Patterson/Vinson &amp; Elkins)</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Plaintiffs have filed a class action alleging that Houston Pipeline failed to take ratably from gas wells in West Texas.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Plaintiffs allege $466 million in damages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Our preliminary damage model indicates damages of $60 - $160 million if Plaintiffs recover on their claim.</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The trial is expected within 12-24 months.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On August 24, 2000 the trial court issued a preliminary ruling that the new class requested by the Plaintiffs could not be certified.  The court also granted Enron’s motion for summary judgment on the Plaintiff’s Dow Waiver claim.  The court denied Enron’s motion for summary judgment on the statute of limitations defense.</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The Plaintiffs filed a motion for a rehearing of the trial court’s rulings.  On January 18, the Court denied the motion for rehearing.  Plaintiffs have indicated they will appeal.</w:t>
      </w:r>
      <w:r>
        <w:br w:type="page"/>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t>Hendricks, City of San Francisco, and Sweetwater</w:t>
      </w:r>
    </w:p>
    <w:p>
      <w:pPr>
        <w:pStyle w:val="Normal"/>
        <w:jc w:val="both"/>
        <w:rPr>
          <w:rFonts w:ascii="Times New Roman" w:hAnsi="Times New Roman" w:cs="Times New Roman"/>
          <w:bCs/>
          <w:sz w:val="24"/>
        </w:rPr>
      </w:pPr>
      <w:r>
        <w:rPr>
          <w:rFonts w:cs="Times New Roman" w:ascii="Times New Roman" w:hAnsi="Times New Roman"/>
          <w:bCs/>
          <w:sz w:val="24"/>
        </w:rPr>
        <w:t>(Gibbs &amp; Bruns/Brobeck, Pflager &amp; Harrison</w:t>
      </w:r>
      <w:r>
        <w:rPr>
          <w:rFonts w:cs="Times New Roman" w:ascii="Times New Roman" w:hAnsi="Times New Roman"/>
          <w:bCs/>
          <w:color w:val="000000"/>
          <w:sz w:val="24"/>
          <w:szCs w:val="18"/>
        </w:rPr>
        <w:t>)</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17"/>
        </w:numPr>
        <w:jc w:val="both"/>
        <w:rPr>
          <w:rFonts w:ascii="Times New Roman" w:hAnsi="Times New Roman" w:cs="Times New Roman"/>
          <w:bCs/>
          <w:sz w:val="24"/>
        </w:rPr>
      </w:pPr>
      <w:r>
        <w:rPr>
          <w:rFonts w:cs="Times New Roman" w:ascii="Times New Roman" w:hAnsi="Times New Roman"/>
          <w:bCs/>
          <w:sz w:val="24"/>
        </w:rPr>
        <w:t>As a result of the California energy crisis, EPMI and EES have been sued in three separate cases.  All three lawsuits allege violations of the California anti-trust and unfair competition laws.</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Normal"/>
        <w:numPr>
          <w:ilvl w:val="1"/>
          <w:numId w:val="17"/>
        </w:numPr>
        <w:jc w:val="both"/>
        <w:rPr>
          <w:rFonts w:ascii="Times New Roman" w:hAnsi="Times New Roman" w:cs="Times New Roman"/>
          <w:bCs/>
          <w:sz w:val="24"/>
        </w:rPr>
      </w:pPr>
      <w:r>
        <w:rPr>
          <w:rFonts w:cs="Times New Roman" w:ascii="Times New Roman" w:hAnsi="Times New Roman"/>
          <w:bCs/>
          <w:i/>
          <w:iCs/>
          <w:sz w:val="24"/>
          <w:u w:val="single"/>
        </w:rPr>
        <w:t>Hendricks</w:t>
      </w:r>
      <w:r>
        <w:rPr>
          <w:rFonts w:cs="Times New Roman" w:ascii="Times New Roman" w:hAnsi="Times New Roman"/>
          <w:bCs/>
          <w:sz w:val="24"/>
        </w:rPr>
        <w:t xml:space="preserve"> is a class action filed in San Diego on behalf of all Californians.</w:t>
      </w:r>
    </w:p>
    <w:p>
      <w:pPr>
        <w:pStyle w:val="Normal"/>
        <w:ind w:start="1080" w:end="0"/>
        <w:jc w:val="both"/>
        <w:rPr>
          <w:rFonts w:ascii="Times New Roman" w:hAnsi="Times New Roman" w:cs="Times New Roman"/>
          <w:bCs/>
          <w:sz w:val="24"/>
        </w:rPr>
      </w:pPr>
      <w:r>
        <w:rPr>
          <w:rFonts w:cs="Times New Roman" w:ascii="Times New Roman" w:hAnsi="Times New Roman"/>
          <w:bCs/>
          <w:sz w:val="24"/>
        </w:rPr>
      </w:r>
    </w:p>
    <w:p>
      <w:pPr>
        <w:pStyle w:val="Normal"/>
        <w:numPr>
          <w:ilvl w:val="1"/>
          <w:numId w:val="17"/>
        </w:numPr>
        <w:jc w:val="both"/>
        <w:rPr>
          <w:rFonts w:ascii="Times New Roman" w:hAnsi="Times New Roman" w:cs="Times New Roman"/>
          <w:bCs/>
          <w:sz w:val="24"/>
        </w:rPr>
      </w:pPr>
      <w:r>
        <w:rPr>
          <w:rFonts w:cs="Times New Roman" w:ascii="Times New Roman" w:hAnsi="Times New Roman"/>
          <w:bCs/>
          <w:i/>
          <w:iCs/>
          <w:sz w:val="24"/>
          <w:u w:val="single"/>
        </w:rPr>
        <w:t>City of San Francisco</w:t>
      </w:r>
      <w:r>
        <w:rPr>
          <w:rFonts w:cs="Times New Roman" w:ascii="Times New Roman" w:hAnsi="Times New Roman"/>
          <w:bCs/>
          <w:i/>
          <w:iCs/>
          <w:sz w:val="24"/>
        </w:rPr>
        <w:t xml:space="preserve"> is </w:t>
      </w:r>
      <w:r>
        <w:rPr>
          <w:rFonts w:cs="Times New Roman" w:ascii="Times New Roman" w:hAnsi="Times New Roman"/>
          <w:bCs/>
          <w:sz w:val="24"/>
        </w:rPr>
        <w:t>a lawsuit filed in San Francisco on behalf of the City of San Francisco and all its rate payers.</w:t>
      </w:r>
    </w:p>
    <w:p>
      <w:pPr>
        <w:pStyle w:val="Normal"/>
        <w:jc w:val="both"/>
        <w:rPr>
          <w:rFonts w:ascii="Times New Roman" w:hAnsi="Times New Roman" w:cs="Times New Roman"/>
          <w:bCs/>
          <w:i/>
          <w:i/>
          <w:iCs/>
          <w:sz w:val="24"/>
          <w:u w:val="single"/>
        </w:rPr>
      </w:pPr>
      <w:r>
        <w:rPr>
          <w:rFonts w:cs="Times New Roman" w:ascii="Times New Roman" w:hAnsi="Times New Roman"/>
          <w:bCs/>
          <w:i/>
          <w:iCs/>
          <w:sz w:val="24"/>
          <w:u w:val="single"/>
        </w:rPr>
      </w:r>
    </w:p>
    <w:p>
      <w:pPr>
        <w:pStyle w:val="Normal"/>
        <w:numPr>
          <w:ilvl w:val="1"/>
          <w:numId w:val="17"/>
        </w:numPr>
        <w:jc w:val="both"/>
        <w:rPr>
          <w:rFonts w:ascii="Times New Roman" w:hAnsi="Times New Roman" w:cs="Times New Roman"/>
          <w:bCs/>
          <w:sz w:val="24"/>
        </w:rPr>
      </w:pPr>
      <w:r>
        <w:rPr>
          <w:rFonts w:cs="Times New Roman" w:ascii="Times New Roman" w:hAnsi="Times New Roman"/>
          <w:bCs/>
          <w:i/>
          <w:iCs/>
          <w:sz w:val="24"/>
          <w:u w:val="single"/>
        </w:rPr>
        <w:t>Sweetwater Authority</w:t>
      </w:r>
      <w:r>
        <w:rPr>
          <w:rFonts w:cs="Times New Roman" w:ascii="Times New Roman" w:hAnsi="Times New Roman"/>
          <w:bCs/>
          <w:sz w:val="24"/>
        </w:rPr>
        <w:t xml:space="preserve"> was filed in San Diego by three water districts based in Southern California.</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All cases filed in California have been removed to Federal District Court.  This removal stays all discovery.</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Heading1"/>
        <w:numPr>
          <w:ilvl w:val="0"/>
          <w:numId w:val="0"/>
        </w:numPr>
        <w:ind w:hanging="0" w:start="0"/>
        <w:rPr>
          <w:b w:val="false"/>
          <w:bCs/>
          <w:i/>
          <w:i/>
          <w:iCs/>
          <w:sz w:val="24"/>
        </w:rPr>
      </w:pPr>
      <w:r>
        <w:rPr>
          <w:b w:val="false"/>
          <w:bCs/>
          <w:i/>
          <w:iCs/>
          <w:sz w:val="24"/>
        </w:rPr>
        <w:t>Enron Power Marketing, Inc. v. Tennessee Valley Authority</w:t>
      </w:r>
    </w:p>
    <w:p>
      <w:pPr>
        <w:pStyle w:val="Normal"/>
        <w:numPr>
          <w:ilvl w:val="0"/>
          <w:numId w:val="0"/>
        </w:numPr>
        <w:ind w:hanging="0" w:start="0"/>
        <w:jc w:val="both"/>
        <w:rPr>
          <w:rFonts w:ascii="Times New Roman" w:hAnsi="Times New Roman" w:cs="Times New Roman"/>
          <w:bCs/>
          <w:sz w:val="24"/>
        </w:rPr>
      </w:pPr>
      <w:r>
        <w:rPr>
          <w:rFonts w:cs="Times New Roman" w:ascii="Times New Roman" w:hAnsi="Times New Roman"/>
          <w:bCs/>
          <w:sz w:val="24"/>
        </w:rPr>
        <w:t>(Tennessee Federal District Court) (Gibbs &amp; Bruns)</w:t>
      </w:r>
    </w:p>
    <w:p>
      <w:pPr>
        <w:pStyle w:val="Normal"/>
        <w:numPr>
          <w:ilvl w:val="0"/>
          <w:numId w:val="0"/>
        </w:numPr>
        <w:ind w:hanging="0" w:start="0"/>
        <w:jc w:val="both"/>
        <w:rPr>
          <w:rFonts w:ascii="Times New Roman" w:hAnsi="Times New Roman" w:cs="Times New Roman"/>
          <w:bCs/>
          <w:i/>
          <w:i/>
          <w:sz w:val="24"/>
          <w:u w:val="single"/>
        </w:rPr>
      </w:pPr>
      <w:r>
        <w:rPr>
          <w:rFonts w:cs="Times New Roman" w:ascii="Times New Roman" w:hAnsi="Times New Roman"/>
          <w:bCs/>
          <w:i/>
          <w:sz w:val="24"/>
          <w:u w:val="single"/>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EPMI filed a declaratory judgment action against TVA in Chattanooga, Tennessee, requesting that the court hold that EPMI can satisfy its delivery obligation to TVA by delivering energy to an inter-connecting utility.</w:t>
      </w:r>
    </w:p>
    <w:p>
      <w:pPr>
        <w:pStyle w:val="Normal"/>
        <w:numPr>
          <w:ilvl w:val="0"/>
          <w:numId w:val="36"/>
        </w:numPr>
        <w:jc w:val="both"/>
        <w:rPr>
          <w:rFonts w:ascii="Times New Roman" w:hAnsi="Times New Roman" w:cs="Times New Roman"/>
          <w:bCs/>
          <w:i/>
          <w:i/>
          <w:sz w:val="24"/>
          <w:u w:val="single"/>
        </w:rPr>
      </w:pPr>
      <w:r>
        <w:rPr>
          <w:rFonts w:cs="Times New Roman" w:ascii="Times New Roman" w:hAnsi="Times New Roman"/>
          <w:bCs/>
          <w:sz w:val="24"/>
        </w:rPr>
        <w:t>On January 27, 2000, EPMI terminated the MOPA.</w:t>
      </w:r>
    </w:p>
    <w:p>
      <w:pPr>
        <w:pStyle w:val="Normal"/>
        <w:numPr>
          <w:ilvl w:val="0"/>
          <w:numId w:val="18"/>
        </w:numPr>
        <w:jc w:val="both"/>
        <w:rPr>
          <w:rFonts w:ascii="Times New Roman" w:hAnsi="Times New Roman" w:cs="Times New Roman"/>
          <w:bCs/>
          <w:i/>
          <w:i/>
          <w:sz w:val="24"/>
          <w:u w:val="single"/>
        </w:rPr>
      </w:pPr>
      <w:r>
        <w:rPr>
          <w:rFonts w:cs="Times New Roman" w:ascii="Times New Roman" w:hAnsi="Times New Roman"/>
          <w:bCs/>
          <w:sz w:val="24"/>
        </w:rPr>
        <w:t>Also on January 27, 2000, EPMI filed two amendments to the existing lawsuit.  EPMI requested that the court declare that a "triggering event" has occurred and that EPMI is allowed to terminate the MOPA.  Secondly, EPMI filed a claim for damages based on TVA's unlawful actions that limited EPMI ability to act as a control area.</w:t>
      </w:r>
    </w:p>
    <w:p>
      <w:pPr>
        <w:pStyle w:val="Normal"/>
        <w:numPr>
          <w:ilvl w:val="0"/>
          <w:numId w:val="18"/>
        </w:numPr>
        <w:jc w:val="both"/>
        <w:rPr>
          <w:rFonts w:ascii="Times New Roman" w:hAnsi="Times New Roman" w:cs="Times New Roman"/>
          <w:bCs/>
          <w:sz w:val="24"/>
        </w:rPr>
      </w:pPr>
      <w:r>
        <w:rPr>
          <w:rFonts w:cs="Times New Roman" w:ascii="Times New Roman" w:hAnsi="Times New Roman"/>
          <w:bCs/>
          <w:sz w:val="24"/>
        </w:rPr>
        <w:t>On March 5, 2000, TVA filed an answer and counterclaim.  In its counterclaim, TVA requests monetary damages and injunctive relief for EPMI’s breach of the MOPA.</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On January 15, 2001, the case settled for $244 million.</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Normal"/>
        <w:numPr>
          <w:ilvl w:val="0"/>
          <w:numId w:val="0"/>
        </w:numPr>
        <w:ind w:hanging="0" w:start="0"/>
        <w:jc w:val="both"/>
        <w:rPr>
          <w:rFonts w:ascii="Times New Roman" w:hAnsi="Times New Roman" w:cs="Times New Roman"/>
          <w:bCs/>
          <w:sz w:val="24"/>
        </w:rPr>
      </w:pPr>
      <w:r>
        <w:rPr>
          <w:rFonts w:cs="Times New Roman" w:ascii="Times New Roman" w:hAnsi="Times New Roman"/>
          <w:bCs/>
          <w:i/>
          <w:sz w:val="24"/>
          <w:u w:val="single"/>
        </w:rPr>
        <w:t>Glatzer v. Enron Corp. and Enron Finance Corp.</w:t>
      </w:r>
    </w:p>
    <w:p>
      <w:pPr>
        <w:pStyle w:val="Normal"/>
        <w:numPr>
          <w:ilvl w:val="0"/>
          <w:numId w:val="0"/>
        </w:numPr>
        <w:ind w:hanging="0" w:start="0"/>
        <w:jc w:val="both"/>
        <w:rPr>
          <w:rFonts w:ascii="Times New Roman" w:hAnsi="Times New Roman" w:cs="Times New Roman"/>
          <w:bCs/>
          <w:sz w:val="24"/>
        </w:rPr>
      </w:pPr>
      <w:r>
        <w:rPr>
          <w:rFonts w:cs="Times New Roman" w:ascii="Times New Roman" w:hAnsi="Times New Roman"/>
          <w:bCs/>
          <w:sz w:val="24"/>
        </w:rPr>
        <w:t>(New York state court) (Susman Godfrey)</w:t>
      </w:r>
    </w:p>
    <w:p>
      <w:pPr>
        <w:pStyle w:val="Normal"/>
        <w:numPr>
          <w:ilvl w:val="0"/>
          <w:numId w:val="0"/>
        </w:numPr>
        <w:ind w:hanging="0" w:start="0"/>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Plaintiff’s damages are unspecified, but he has offered to settle for $1 million</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 xml:space="preserve">ECT filed a motion for summary judgment and on July 14, 1999, the Court granted ECT’s motion for summary judgment. </w:t>
      </w:r>
    </w:p>
    <w:p>
      <w:pPr>
        <w:pStyle w:val="Normal"/>
        <w:numPr>
          <w:ilvl w:val="0"/>
          <w:numId w:val="36"/>
        </w:numPr>
        <w:jc w:val="both"/>
        <w:rPr>
          <w:rFonts w:ascii="Times New Roman" w:hAnsi="Times New Roman" w:cs="Times New Roman"/>
          <w:bCs/>
          <w:i/>
          <w:i/>
          <w:sz w:val="24"/>
          <w:u w:val="single"/>
        </w:rPr>
      </w:pPr>
      <w:r>
        <w:rPr>
          <w:rFonts w:cs="Times New Roman" w:ascii="Times New Roman" w:hAnsi="Times New Roman"/>
          <w:bCs/>
          <w:sz w:val="24"/>
        </w:rPr>
        <w:t>The plaintiff appealed the granting of the motion for summary judgment.  On December 10, 2001, the Court of Appeals affirmed the trial court’s decision granting summary judgment.</w:t>
      </w:r>
    </w:p>
    <w:p>
      <w:pPr>
        <w:pStyle w:val="Normal"/>
        <w:numPr>
          <w:ilvl w:val="0"/>
          <w:numId w:val="36"/>
        </w:numPr>
        <w:jc w:val="both"/>
        <w:rPr>
          <w:rFonts w:ascii="Times New Roman" w:hAnsi="Times New Roman" w:cs="Times New Roman"/>
          <w:bCs/>
          <w:i/>
          <w:i/>
          <w:sz w:val="24"/>
          <w:u w:val="single"/>
        </w:rPr>
      </w:pPr>
      <w:r>
        <w:rPr>
          <w:rFonts w:cs="Times New Roman" w:ascii="Times New Roman" w:hAnsi="Times New Roman"/>
          <w:bCs/>
          <w:sz w:val="24"/>
        </w:rPr>
        <w:t>Plaintiff has recently offered to settle for $500,000.</w:t>
      </w:r>
    </w:p>
    <w:p>
      <w:pPr>
        <w:pStyle w:val="Normal"/>
        <w:ind w:start="720" w:end="0"/>
        <w:jc w:val="both"/>
        <w:rPr>
          <w:rFonts w:ascii="Times New Roman" w:hAnsi="Times New Roman" w:cs="Times New Roman"/>
          <w:bCs/>
          <w:i/>
          <w:i/>
          <w:sz w:val="24"/>
          <w:u w:val="single"/>
        </w:rPr>
      </w:pPr>
      <w:r>
        <w:rPr>
          <w:rFonts w:cs="Times New Roman" w:ascii="Times New Roman" w:hAnsi="Times New Roman"/>
          <w:bCs/>
          <w:i/>
          <w:sz w:val="24"/>
          <w:u w:val="single"/>
        </w:rPr>
      </w:r>
    </w:p>
    <w:p>
      <w:pPr>
        <w:pStyle w:val="Normal"/>
        <w:jc w:val="both"/>
        <w:rPr>
          <w:rFonts w:ascii="Times New Roman" w:hAnsi="Times New Roman" w:cs="Times New Roman"/>
          <w:bCs/>
          <w:sz w:val="24"/>
        </w:rPr>
      </w:pPr>
      <w:r>
        <w:rPr>
          <w:rFonts w:cs="Times New Roman" w:ascii="Times New Roman" w:hAnsi="Times New Roman"/>
          <w:bCs/>
          <w:i/>
          <w:sz w:val="24"/>
          <w:u w:val="single"/>
        </w:rPr>
        <w:t>EnSerCo, L.L.C.v. Drilling Rig Noram 253 and SAM Offshore, Ltd.</w:t>
      </w:r>
    </w:p>
    <w:p>
      <w:pPr>
        <w:pStyle w:val="Normal"/>
        <w:jc w:val="both"/>
        <w:rPr>
          <w:rFonts w:ascii="Times New Roman" w:hAnsi="Times New Roman" w:cs="Times New Roman"/>
          <w:bCs/>
          <w:sz w:val="24"/>
        </w:rPr>
      </w:pPr>
      <w:r>
        <w:rPr>
          <w:rFonts w:cs="Times New Roman" w:ascii="Times New Roman" w:hAnsi="Times New Roman"/>
          <w:bCs/>
          <w:sz w:val="24"/>
        </w:rPr>
        <w:t>(Southern District, Galveston Division) (Gardere Wynne Sewell &amp; Riggs)</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Sam Offshore defaulted on $15,500,000 Promissory Note</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Enserco seized the vessel on October 15, 1999.  The rig is located in Galveston</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Enserco filed suit against the guarantors of the Sam Offshore loan.  The guarantors are foreign companies.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Enserco purchased the rig in a judicial foreclosure sale for $1 million.  We are attempting to sell this rig.</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Prior to the trial, the defendants agreed to a deficiency judgment in favor of Enserco.  Enserco agreed to dismiss fraudulent transfer claims against two defendants.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Discovery is proceeding concerning the amount of the deficiency.</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Nakonthai Strip Mill (NSM) Thailand</w:t>
      </w:r>
    </w:p>
    <w:p>
      <w:pPr>
        <w:pStyle w:val="Subject"/>
        <w:tabs>
          <w:tab w:val="clear" w:pos="720"/>
          <w:tab w:val="left" w:pos="540" w:leader="none"/>
        </w:tabs>
        <w:rPr>
          <w:rFonts w:ascii="Times New Roman" w:hAnsi="Times New Roman" w:cs="Times New Roman"/>
          <w:bCs/>
          <w:sz w:val="24"/>
        </w:rPr>
      </w:pPr>
      <w:r>
        <w:rPr>
          <w:rFonts w:cs="Times New Roman" w:ascii="Times New Roman" w:hAnsi="Times New Roman"/>
          <w:bCs/>
          <w:sz w:val="24"/>
        </w:rPr>
        <w:t>(Los Angeles State Court) (Millbank, Tweed)</w:t>
      </w:r>
    </w:p>
    <w:p>
      <w:pPr>
        <w:pStyle w:val="Normal"/>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ECT Securities was an underwriter for approximately $25 million of the bonds and may have liability for any misrepresentations contained in the offering memorandum.</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Several lawsuits have been filed against our co-underwriters claiming alleged misrepresentations in the offering memorandum.  The lawsuits are pending in Minneapolis, New Jersey, Chicago and Los Angeles.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ECT Securities has been sued by Farrollan and Legg Mason in Los Angeles State District Court.</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Extensive discovery has been conducted to date.  Enron employees’ depositions are scheduled on February 14, 2001.  Trial is set in July 2001.</w:t>
      </w:r>
    </w:p>
    <w:p>
      <w:pPr>
        <w:pStyle w:val="Normal"/>
        <w:rPr>
          <w:rFonts w:ascii="Times New Roman" w:hAnsi="Times New Roman" w:cs="Times New Roman"/>
          <w:bCs/>
          <w:sz w:val="24"/>
        </w:rPr>
      </w:pPr>
      <w:r>
        <w:rPr>
          <w:rFonts w:cs="Times New Roman" w:ascii="Times New Roman" w:hAnsi="Times New Roman"/>
          <w:bCs/>
          <w:sz w:val="24"/>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Grynberg</w:t>
      </w:r>
    </w:p>
    <w:p>
      <w:pPr>
        <w:pStyle w:val="Footer"/>
        <w:tabs>
          <w:tab w:val="clear" w:pos="4320"/>
          <w:tab w:val="clear" w:pos="8640"/>
          <w:tab w:val="left" w:pos="540" w:leader="none"/>
        </w:tabs>
        <w:rPr>
          <w:rFonts w:ascii="Times New Roman" w:hAnsi="Times New Roman" w:cs="Times New Roman"/>
          <w:bCs/>
          <w:sz w:val="24"/>
        </w:rPr>
      </w:pPr>
      <w:r>
        <w:rPr>
          <w:rFonts w:cs="Times New Roman" w:ascii="Times New Roman" w:hAnsi="Times New Roman"/>
          <w:bCs/>
          <w:sz w:val="24"/>
        </w:rPr>
        <w:t>(Wyoming Federal Court) (Gibbs &amp; Bruns) (Vinson &amp; Elkins)</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Qui tam action brought against HPL, LRC, and all pipeline companies in America alleging fraudulent practices in the measurement of gas.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All of the cases have been consolidated in Wyoming.</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 xml:space="preserve">On March 18, 2000, the court heard oral arguments on the defendants’ motion to dismiss for failure to plead fraud with particularity.  The Court has not yet issued a decision. </w:t>
      </w:r>
      <w:r>
        <w:br w:type="page"/>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Qunique Case</w:t>
      </w:r>
    </w:p>
    <w:p>
      <w:pPr>
        <w:pStyle w:val="Footer"/>
        <w:tabs>
          <w:tab w:val="clear" w:pos="4320"/>
          <w:tab w:val="clear" w:pos="8640"/>
          <w:tab w:val="left" w:pos="540" w:leader="none"/>
        </w:tabs>
        <w:rPr>
          <w:rFonts w:ascii="Times New Roman" w:hAnsi="Times New Roman" w:cs="Times New Roman"/>
          <w:bCs/>
          <w:sz w:val="24"/>
        </w:rPr>
      </w:pPr>
      <w:r>
        <w:rPr>
          <w:rFonts w:cs="Times New Roman" w:ascii="Times New Roman" w:hAnsi="Times New Roman"/>
          <w:bCs/>
          <w:sz w:val="24"/>
        </w:rPr>
        <w:t>(Kansas State District Court) (Gibbs &amp; Bruns) (Vinson &amp; Elkins)</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This is a national class action filed in State District Court in Kansas on behalf of all gas producers and royalty interest owners alleging fraudulent practices in the measurement of gas.</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Enron removed the case to the Federal District Court of Kansas City alleging Federal Question jurisdiction.</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Plaintiffs filed a motion to remand to State District Court.  On January 10, the Federal District Court granted Plaintiff’s motion to remand and sent the case back to the State District Court.</w:t>
      </w:r>
    </w:p>
    <w:p>
      <w:pPr>
        <w:pStyle w:val="Normal"/>
        <w:numPr>
          <w:ilvl w:val="0"/>
          <w:numId w:val="36"/>
        </w:numPr>
        <w:jc w:val="both"/>
        <w:rPr>
          <w:rFonts w:ascii="Times New Roman" w:hAnsi="Times New Roman" w:cs="Times New Roman"/>
          <w:bCs/>
          <w:sz w:val="24"/>
        </w:rPr>
      </w:pPr>
      <w:r>
        <w:rPr>
          <w:rFonts w:cs="Times New Roman" w:ascii="Times New Roman" w:hAnsi="Times New Roman"/>
          <w:bCs/>
          <w:sz w:val="24"/>
        </w:rPr>
        <w:t>We expect Plaintiffs to move for class certification within 6-8 weeks.</w:t>
      </w:r>
    </w:p>
    <w:p>
      <w:pPr>
        <w:pStyle w:val="Normal"/>
        <w:ind w:start="720" w:end="0"/>
        <w:jc w:val="both"/>
        <w:rPr>
          <w:rFonts w:ascii="Times New Roman" w:hAnsi="Times New Roman" w:cs="Times New Roman"/>
          <w:bCs/>
          <w:sz w:val="24"/>
        </w:rPr>
      </w:pPr>
      <w:r>
        <w:rPr>
          <w:rFonts w:cs="Times New Roman" w:ascii="Times New Roman" w:hAnsi="Times New Roman"/>
          <w:bCs/>
          <w:sz w:val="24"/>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Enron Power Marketing v. Calpine Corp.</w:t>
      </w:r>
    </w:p>
    <w:p>
      <w:pPr>
        <w:pStyle w:val="Normal"/>
        <w:jc w:val="both"/>
        <w:rPr>
          <w:rFonts w:ascii="Times New Roman" w:hAnsi="Times New Roman" w:cs="Times New Roman"/>
          <w:bCs/>
          <w:sz w:val="24"/>
        </w:rPr>
      </w:pPr>
      <w:r>
        <w:rPr>
          <w:rFonts w:cs="Times New Roman" w:ascii="Times New Roman" w:hAnsi="Times New Roman"/>
          <w:bCs/>
          <w:sz w:val="24"/>
        </w:rPr>
        <w:t>(Houston Federal District Court) (Bill Ogden)</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EPMI filed a lawsuit against Calpine alleging that Calpine breached its contract with EPMI to assume certain power contracts EPMI had with the Lower Colorado River Authority.</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EPMI's damages will depend on the cost of covering Calpine's position.  The damages are estimated to be $2.4-7.2 million.</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On March 6, 2000, Calpine filed an answer and removed this case to Federal Court.</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Discovery is proceeding.</w:t>
      </w:r>
    </w:p>
    <w:p>
      <w:pPr>
        <w:pStyle w:val="Normal"/>
        <w:jc w:val="both"/>
        <w:rPr>
          <w:rFonts w:ascii="Times New Roman" w:hAnsi="Times New Roman" w:cs="Times New Roman"/>
          <w:bCs/>
          <w:sz w:val="24"/>
        </w:rPr>
      </w:pPr>
      <w:r>
        <w:rPr>
          <w:rFonts w:cs="Times New Roman" w:ascii="Times New Roman" w:hAnsi="Times New Roman"/>
          <w:bCs/>
          <w:sz w:val="24"/>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PCA v. Enron Power Marketing</w:t>
      </w:r>
    </w:p>
    <w:p>
      <w:pPr>
        <w:pStyle w:val="Normal"/>
        <w:jc w:val="both"/>
        <w:rPr>
          <w:rFonts w:ascii="Times New Roman" w:hAnsi="Times New Roman" w:cs="Times New Roman"/>
          <w:bCs/>
          <w:sz w:val="24"/>
        </w:rPr>
      </w:pPr>
      <w:r>
        <w:rPr>
          <w:rFonts w:cs="Times New Roman" w:ascii="Times New Roman" w:hAnsi="Times New Roman"/>
          <w:bCs/>
          <w:sz w:val="24"/>
        </w:rPr>
        <w:t>(Connecticut Federal District Court) (Weil Gotshal &amp; Manges/Melanie Gray)</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Lawsuit filed by the PCA bankruptcy trustee alleging wrongful termination of PCA’s power contract.</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Alleged damages are between $4-12 million.</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Discovery is proceeding.</w:t>
      </w:r>
    </w:p>
    <w:p>
      <w:pPr>
        <w:pStyle w:val="Heading1"/>
        <w:rPr>
          <w:rFonts w:ascii="Times New Roman" w:hAnsi="Times New Roman" w:cs="Times New Roman"/>
          <w:b w:val="false"/>
          <w:bCs/>
          <w:sz w:val="24"/>
        </w:rPr>
      </w:pPr>
      <w:r>
        <w:rPr>
          <w:rFonts w:cs="Times New Roman"/>
          <w:b w:val="false"/>
          <w:bCs/>
          <w:sz w:val="24"/>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Enron v. Antarra Resources</w:t>
      </w:r>
    </w:p>
    <w:p>
      <w:pPr>
        <w:pStyle w:val="Normal"/>
        <w:jc w:val="both"/>
        <w:rPr>
          <w:rFonts w:ascii="Times New Roman" w:hAnsi="Times New Roman" w:cs="Times New Roman"/>
          <w:bCs/>
          <w:sz w:val="24"/>
        </w:rPr>
      </w:pPr>
      <w:r>
        <w:rPr>
          <w:rFonts w:cs="Times New Roman" w:ascii="Times New Roman" w:hAnsi="Times New Roman"/>
          <w:bCs/>
          <w:sz w:val="24"/>
        </w:rPr>
        <w:t xml:space="preserve">(Harris County District Court) (Buck, Keenan &amp; Gage/Jim Keenan) </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Badack Resources, a subsidiary of Antarra, defaulted on a gas sales agreement with ENA.</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ENA’s damages are approximately $8.4 million.</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Antarra was sued under a corporate guaranty.</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ENA filed a motion for summary judgment on the issue of liability under the gas sales contract.  On December 12, 2000, the Court granted Enron’s motion.</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Discovery is proceeding on the issue of damages.</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Plaintiffs have filed a counterclaim alleging breach of a confidentiality agreement and fraud.</w:t>
      </w:r>
    </w:p>
    <w:p>
      <w:pPr>
        <w:pStyle w:val="Normal"/>
        <w:jc w:val="both"/>
        <w:rPr>
          <w:rFonts w:ascii="Times New Roman" w:hAnsi="Times New Roman" w:cs="Times New Roman"/>
          <w:bCs/>
          <w:sz w:val="24"/>
        </w:rPr>
      </w:pPr>
      <w:r>
        <w:rPr>
          <w:rFonts w:cs="Times New Roman" w:ascii="Times New Roman" w:hAnsi="Times New Roman"/>
          <w:bCs/>
          <w:sz w:val="24"/>
        </w:rPr>
      </w:r>
    </w:p>
    <w:p>
      <w:pPr>
        <w:pStyle w:val="Heading6"/>
        <w:ind w:hanging="0" w:start="0"/>
        <w:rPr>
          <w:rFonts w:ascii="Times New Roman" w:hAnsi="Times New Roman" w:cs="Times New Roman"/>
          <w:bCs/>
          <w:sz w:val="24"/>
          <w:u w:val="single"/>
        </w:rPr>
      </w:pPr>
      <w:r>
        <w:rPr>
          <w:rFonts w:cs="Times New Roman" w:ascii="Times New Roman" w:hAnsi="Times New Roman"/>
          <w:bCs/>
          <w:sz w:val="24"/>
          <w:u w:val="single"/>
        </w:rPr>
        <w:t>Wright v. Enron Corporation</w:t>
      </w:r>
    </w:p>
    <w:p>
      <w:pPr>
        <w:pStyle w:val="Normal"/>
        <w:jc w:val="both"/>
        <w:rPr>
          <w:rFonts w:ascii="Times New Roman" w:hAnsi="Times New Roman" w:cs="Times New Roman"/>
          <w:bCs/>
          <w:sz w:val="24"/>
        </w:rPr>
      </w:pPr>
      <w:r>
        <w:rPr>
          <w:rFonts w:cs="Times New Roman" w:ascii="Times New Roman" w:hAnsi="Times New Roman"/>
          <w:bCs/>
          <w:sz w:val="24"/>
        </w:rPr>
        <w:t>(Gibbs &amp; Bruns/Vinson &amp; Elkins)</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Qui tam case alleging that all marketing affiliates, including ECT, were created to defraud the federal government of royalty obligations.</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 xml:space="preserve">This case has been consolidated with the </w:t>
      </w:r>
      <w:r>
        <w:rPr>
          <w:rFonts w:cs="Times New Roman" w:ascii="Times New Roman" w:hAnsi="Times New Roman"/>
          <w:bCs/>
          <w:sz w:val="24"/>
          <w:u w:val="single"/>
        </w:rPr>
        <w:t>Grynberg</w:t>
      </w:r>
      <w:r>
        <w:rPr>
          <w:rFonts w:cs="Times New Roman" w:ascii="Times New Roman" w:hAnsi="Times New Roman"/>
          <w:bCs/>
          <w:sz w:val="24"/>
        </w:rPr>
        <w:t xml:space="preserve"> case in Wyoming.</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The Department of Justice has not decided whether to intervene in this case.</w:t>
      </w:r>
    </w:p>
    <w:p>
      <w:pPr>
        <w:pStyle w:val="Body"/>
        <w:ind w:start="0" w:end="0"/>
        <w:rPr>
          <w:rFonts w:ascii="Times New Roman" w:hAnsi="Times New Roman" w:cs="Times New Roman"/>
          <w:bCs/>
          <w:sz w:val="24"/>
        </w:rPr>
      </w:pPr>
      <w:r>
        <w:rPr>
          <w:rFonts w:cs="Times New Roman" w:ascii="Times New Roman" w:hAnsi="Times New Roman"/>
          <w:bCs/>
          <w:sz w:val="24"/>
        </w:rPr>
      </w:r>
    </w:p>
    <w:p>
      <w:pPr>
        <w:pStyle w:val="Body"/>
        <w:ind w:start="0" w:end="0"/>
        <w:rPr>
          <w:rFonts w:ascii="Times New Roman" w:hAnsi="Times New Roman" w:cs="Times New Roman"/>
          <w:b/>
          <w:sz w:val="24"/>
        </w:rPr>
      </w:pPr>
      <w:r>
        <w:rPr>
          <w:rFonts w:cs="Times New Roman" w:ascii="Times New Roman" w:hAnsi="Times New Roman"/>
          <w:b/>
          <w:sz w:val="24"/>
        </w:rPr>
        <w:t>POTENTIAL LITIGATION</w:t>
      </w:r>
    </w:p>
    <w:p>
      <w:pPr>
        <w:pStyle w:val="Body"/>
        <w:ind w:start="0" w:end="0"/>
        <w:rPr>
          <w:rFonts w:ascii="Times New Roman" w:hAnsi="Times New Roman" w:cs="Times New Roman"/>
          <w:b/>
          <w:bCs/>
          <w:sz w:val="24"/>
          <w:u w:val="single"/>
        </w:rPr>
      </w:pPr>
      <w:r>
        <w:rPr>
          <w:rFonts w:cs="Times New Roman" w:ascii="Times New Roman" w:hAnsi="Times New Roman"/>
          <w:b/>
          <w:bCs/>
          <w:sz w:val="24"/>
          <w:u w:val="single"/>
        </w:rPr>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t>Brazos River v.  Ponderosa Pine</w:t>
      </w:r>
    </w:p>
    <w:p>
      <w:pPr>
        <w:pStyle w:val="Normal"/>
        <w:jc w:val="both"/>
        <w:rPr>
          <w:rFonts w:ascii="Times New Roman" w:hAnsi="Times New Roman" w:cs="Times New Roman"/>
          <w:bCs/>
          <w:sz w:val="24"/>
        </w:rPr>
      </w:pPr>
      <w:r>
        <w:rPr>
          <w:rFonts w:cs="Times New Roman" w:ascii="Times New Roman" w:hAnsi="Times New Roman"/>
          <w:bCs/>
          <w:sz w:val="24"/>
        </w:rPr>
        <w:t>(Vinson &amp; Elkins/David Harvin)</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Brazos alleges that Ponderosa Pine has defaulted under their Power Purchase Agreement  (“PPA”) because Ponderosa Pine and Tenaska entered into an illegal assignment of the PPA.</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Brazos also alleges that Ponderosa Pine defaulted under the PPA because it has failed to meet certain performance guaranties contained in the PPA.  The power plant has experienced some problems with its Westinghouse turbines.</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All attempts to resolve the disputes have been unsuccessful.</w:t>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No lawsuit has been filed.</w:t>
      </w:r>
    </w:p>
    <w:p>
      <w:pPr>
        <w:pStyle w:val="Heading7"/>
        <w:ind w:hanging="0" w:start="0"/>
        <w:rPr>
          <w:rFonts w:ascii="Times New Roman" w:hAnsi="Times New Roman" w:cs="Times New Roman"/>
          <w:b w:val="false"/>
          <w:bCs/>
          <w:sz w:val="24"/>
        </w:rPr>
      </w:pPr>
      <w:r>
        <w:rPr>
          <w:rFonts w:cs="Times New Roman" w:ascii="Times New Roman" w:hAnsi="Times New Roman"/>
          <w:b w:val="false"/>
          <w:bCs/>
          <w:sz w:val="24"/>
        </w:rPr>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t>Project Stanley</w:t>
      </w:r>
    </w:p>
    <w:p>
      <w:pPr>
        <w:pStyle w:val="Normal"/>
        <w:jc w:val="both"/>
        <w:rPr/>
      </w:pPr>
      <w:r>
        <w:rPr>
          <w:rFonts w:cs="Times New Roman" w:ascii="Times New Roman" w:hAnsi="Times New Roman"/>
          <w:bCs/>
          <w:sz w:val="24"/>
        </w:rPr>
        <w:t>(</w:t>
      </w:r>
      <w:r>
        <w:rPr>
          <w:rFonts w:cs="Times New Roman" w:ascii="Times New Roman" w:hAnsi="Times New Roman"/>
          <w:bCs/>
          <w:color w:val="000000"/>
          <w:sz w:val="24"/>
          <w:szCs w:val="18"/>
        </w:rPr>
        <w:t>Blake, Cassels &amp; Graydon – Glen Leslie</w:t>
      </w:r>
      <w:r>
        <w:rPr>
          <w:rFonts w:cs="Times New Roman" w:ascii="Times New Roman" w:hAnsi="Times New Roman"/>
          <w:bCs/>
          <w:sz w:val="24"/>
        </w:rPr>
        <w:t>)</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5"/>
        </w:numPr>
        <w:jc w:val="both"/>
        <w:rPr>
          <w:rFonts w:ascii="Times New Roman" w:hAnsi="Times New Roman" w:cs="Times New Roman"/>
          <w:bCs/>
          <w:sz w:val="24"/>
        </w:rPr>
      </w:pPr>
      <w:r>
        <w:rPr>
          <w:rFonts w:cs="Times New Roman" w:ascii="Times New Roman" w:hAnsi="Times New Roman"/>
          <w:bCs/>
          <w:sz w:val="24"/>
        </w:rPr>
        <w:t>In May, the Canadian government executed a search warrant for certain information related to Enron Canada’s purchase of power from PowerX.  The alleged criminal violation is price fixing.  In December, the Canadian Government issued a press release indicating that the investigation has been concluded.</w:t>
      </w:r>
    </w:p>
    <w:p>
      <w:pPr>
        <w:pStyle w:val="Heading"/>
        <w:rPr>
          <w:rFonts w:ascii="Times New Roman" w:hAnsi="Times New Roman" w:cs="Times New Roman"/>
          <w:bCs/>
          <w:sz w:val="24"/>
        </w:rPr>
      </w:pPr>
      <w:r>
        <w:rPr>
          <w:rFonts w:cs="Times New Roman" w:ascii="Times New Roman" w:hAnsi="Times New Roman"/>
          <w:bCs/>
          <w:sz w:val="24"/>
        </w:rPr>
      </w:r>
    </w:p>
    <w:p>
      <w:pPr>
        <w:pStyle w:val="Heading"/>
        <w:rPr>
          <w:rFonts w:ascii="Times New Roman" w:hAnsi="Times New Roman" w:cs="Times New Roman"/>
        </w:rPr>
      </w:pPr>
      <w:r>
        <w:rPr>
          <w:rFonts w:cs="Times New Roman" w:ascii="Times New Roman" w:hAnsi="Times New Roman"/>
        </w:rPr>
      </w:r>
    </w:p>
    <w:p>
      <w:pPr>
        <w:pStyle w:val="Heading"/>
        <w:jc w:val="both"/>
        <w:rPr>
          <w:rFonts w:ascii="Times New Roman" w:hAnsi="Times New Roman" w:cs="Times New Roman"/>
          <w:u w:val="single"/>
        </w:rPr>
      </w:pPr>
      <w:r>
        <w:rPr>
          <w:rFonts w:cs="Times New Roman" w:ascii="Times New Roman" w:hAnsi="Times New Roman"/>
          <w:u w:val="single"/>
        </w:rPr>
        <w:t>Enron Industrial Markets LLC</w:t>
      </w:r>
    </w:p>
    <w:p>
      <w:pPr>
        <w:pStyle w:val="Normal"/>
        <w:rPr>
          <w:rFonts w:ascii="Times New Roman" w:hAnsi="Times New Roman" w:cs="Times New Roman"/>
          <w:sz w:val="24"/>
          <w:u w:val="single"/>
        </w:rPr>
      </w:pPr>
      <w:r>
        <w:rPr>
          <w:rFonts w:cs="Times New Roman" w:ascii="Times New Roman" w:hAnsi="Times New Roman"/>
          <w:sz w:val="24"/>
          <w:u w:val="single"/>
        </w:rPr>
      </w:r>
    </w:p>
    <w:p>
      <w:pPr>
        <w:pStyle w:val="Heading1"/>
        <w:rPr>
          <w:rFonts w:eastAsia="Arial Unicode MS"/>
          <w:bCs/>
          <w:sz w:val="24"/>
        </w:rPr>
      </w:pPr>
      <w:r>
        <w:rPr>
          <w:b w:val="false"/>
          <w:bCs/>
          <w:sz w:val="24"/>
        </w:rPr>
        <w:t>Pulp &amp; Paper</w:t>
      </w:r>
    </w:p>
    <w:p>
      <w:pPr>
        <w:pStyle w:val="Normal"/>
        <w:rPr>
          <w:rFonts w:ascii="Times New Roman" w:hAnsi="Times New Roman" w:eastAsia="Arial Unicode MS" w:cs="Times New Roman"/>
          <w:bCs/>
          <w:sz w:val="24"/>
        </w:rPr>
      </w:pPr>
      <w:r>
        <w:rPr>
          <w:rFonts w:eastAsia="Arial Unicode MS" w:cs="Times New Roman" w:ascii="Times New Roman" w:hAnsi="Times New Roman"/>
          <w:bCs/>
          <w:sz w:val="24"/>
        </w:rPr>
      </w:r>
    </w:p>
    <w:p>
      <w:pPr>
        <w:pStyle w:val="Normal"/>
        <w:numPr>
          <w:ilvl w:val="0"/>
          <w:numId w:val="39"/>
        </w:numPr>
        <w:rPr>
          <w:rFonts w:ascii="Times New Roman" w:hAnsi="Times New Roman" w:cs="Times New Roman"/>
          <w:sz w:val="24"/>
        </w:rPr>
      </w:pPr>
      <w:r>
        <w:rPr>
          <w:rFonts w:cs="Times New Roman" w:ascii="Times New Roman" w:hAnsi="Times New Roman"/>
          <w:sz w:val="24"/>
        </w:rPr>
        <w:t>Mergers &amp; Acquisitions/Originations [Peter del Vecchio]</w:t>
      </w:r>
    </w:p>
    <w:p>
      <w:pPr>
        <w:pStyle w:val="Normal"/>
        <w:numPr>
          <w:ilvl w:val="1"/>
          <w:numId w:val="37"/>
        </w:numPr>
        <w:rPr>
          <w:rFonts w:ascii="Times New Roman" w:hAnsi="Times New Roman" w:cs="Times New Roman"/>
          <w:sz w:val="24"/>
        </w:rPr>
      </w:pPr>
      <w:r>
        <w:rPr>
          <w:rFonts w:cs="Times New Roman" w:ascii="Times New Roman" w:hAnsi="Times New Roman"/>
          <w:sz w:val="24"/>
        </w:rPr>
        <w:t>Project Crane</w:t>
      </w:r>
    </w:p>
    <w:p>
      <w:pPr>
        <w:pStyle w:val="Normal"/>
        <w:numPr>
          <w:ilvl w:val="1"/>
          <w:numId w:val="37"/>
        </w:numPr>
        <w:rPr>
          <w:rFonts w:ascii="Times New Roman" w:hAnsi="Times New Roman" w:cs="Times New Roman"/>
          <w:sz w:val="24"/>
        </w:rPr>
      </w:pPr>
      <w:r>
        <w:rPr>
          <w:rFonts w:cs="Times New Roman" w:ascii="Times New Roman" w:hAnsi="Times New Roman"/>
          <w:sz w:val="24"/>
        </w:rPr>
        <w:t>Papier Masson – Buy/Sell</w:t>
      </w:r>
    </w:p>
    <w:p>
      <w:pPr>
        <w:pStyle w:val="Normal"/>
        <w:numPr>
          <w:ilvl w:val="1"/>
          <w:numId w:val="37"/>
        </w:numPr>
        <w:rPr>
          <w:rFonts w:ascii="Times New Roman" w:hAnsi="Times New Roman" w:cs="Times New Roman"/>
          <w:sz w:val="24"/>
        </w:rPr>
      </w:pPr>
      <w:r>
        <w:rPr>
          <w:rFonts w:cs="Times New Roman" w:ascii="Times New Roman" w:hAnsi="Times New Roman"/>
          <w:sz w:val="24"/>
        </w:rPr>
        <w:t>Others (Oconto Falls/Rebox, Casella)</w:t>
      </w:r>
    </w:p>
    <w:p>
      <w:pPr>
        <w:pStyle w:val="Normal"/>
        <w:numPr>
          <w:ilvl w:val="0"/>
          <w:numId w:val="37"/>
        </w:numPr>
        <w:rPr>
          <w:rFonts w:ascii="Times New Roman" w:hAnsi="Times New Roman" w:cs="Times New Roman"/>
          <w:sz w:val="24"/>
        </w:rPr>
      </w:pPr>
      <w:r>
        <w:rPr>
          <w:rFonts w:cs="Times New Roman" w:ascii="Times New Roman" w:hAnsi="Times New Roman"/>
          <w:sz w:val="24"/>
        </w:rPr>
        <w:t>Garden State Paper [Peter del Vecchio]</w:t>
      </w:r>
    </w:p>
    <w:p>
      <w:pPr>
        <w:pStyle w:val="Normal"/>
        <w:numPr>
          <w:ilvl w:val="1"/>
          <w:numId w:val="37"/>
        </w:numPr>
        <w:rPr>
          <w:rFonts w:ascii="Times New Roman" w:hAnsi="Times New Roman" w:cs="Times New Roman"/>
          <w:sz w:val="24"/>
        </w:rPr>
      </w:pPr>
      <w:r>
        <w:rPr>
          <w:rFonts w:cs="Times New Roman" w:ascii="Times New Roman" w:hAnsi="Times New Roman"/>
          <w:sz w:val="24"/>
        </w:rPr>
        <w:t>Post-closing matters</w:t>
      </w:r>
    </w:p>
    <w:p>
      <w:pPr>
        <w:pStyle w:val="Normal"/>
        <w:numPr>
          <w:ilvl w:val="1"/>
          <w:numId w:val="37"/>
        </w:numPr>
        <w:rPr>
          <w:rFonts w:ascii="Times New Roman" w:hAnsi="Times New Roman" w:cs="Times New Roman"/>
          <w:sz w:val="24"/>
        </w:rPr>
      </w:pPr>
      <w:r>
        <w:rPr>
          <w:rFonts w:cs="Times New Roman" w:ascii="Times New Roman" w:hAnsi="Times New Roman"/>
          <w:sz w:val="24"/>
        </w:rPr>
        <w:t>Operations Review and Integration</w:t>
      </w:r>
    </w:p>
    <w:p>
      <w:pPr>
        <w:pStyle w:val="Normal"/>
        <w:numPr>
          <w:ilvl w:val="0"/>
          <w:numId w:val="37"/>
        </w:numPr>
        <w:rPr>
          <w:rFonts w:ascii="Times New Roman" w:hAnsi="Times New Roman" w:cs="Times New Roman"/>
          <w:sz w:val="24"/>
        </w:rPr>
      </w:pPr>
      <w:r>
        <w:rPr>
          <w:rFonts w:cs="Times New Roman" w:ascii="Times New Roman" w:hAnsi="Times New Roman"/>
          <w:sz w:val="24"/>
        </w:rPr>
        <w:t>Physical Trading [Harry Collins/Dan Lyons]</w:t>
      </w:r>
    </w:p>
    <w:p>
      <w:pPr>
        <w:pStyle w:val="BodyTextIndent"/>
        <w:numPr>
          <w:ilvl w:val="1"/>
          <w:numId w:val="37"/>
        </w:numPr>
        <w:rPr>
          <w:sz w:val="24"/>
        </w:rPr>
      </w:pPr>
      <w:r>
        <w:rPr>
          <w:sz w:val="24"/>
        </w:rPr>
        <w:t>Pulp &amp; Paper/Lumber</w:t>
      </w:r>
    </w:p>
    <w:p>
      <w:pPr>
        <w:pStyle w:val="Normal"/>
        <w:numPr>
          <w:ilvl w:val="1"/>
          <w:numId w:val="37"/>
        </w:numPr>
        <w:rPr>
          <w:rFonts w:ascii="Times New Roman" w:hAnsi="Times New Roman" w:cs="Times New Roman"/>
          <w:sz w:val="24"/>
        </w:rPr>
      </w:pPr>
      <w:r>
        <w:rPr>
          <w:rFonts w:cs="Times New Roman" w:ascii="Times New Roman" w:hAnsi="Times New Roman"/>
          <w:sz w:val="24"/>
        </w:rPr>
        <w:t>Electronic Trading (Clickpaper.com, Asia roll out)</w:t>
      </w:r>
    </w:p>
    <w:p>
      <w:pPr>
        <w:pStyle w:val="Normal"/>
        <w:numPr>
          <w:ilvl w:val="1"/>
          <w:numId w:val="37"/>
        </w:numPr>
        <w:rPr>
          <w:rFonts w:ascii="Times New Roman" w:hAnsi="Times New Roman" w:cs="Times New Roman"/>
          <w:sz w:val="24"/>
        </w:rPr>
      </w:pPr>
      <w:r>
        <w:rPr>
          <w:rFonts w:cs="Times New Roman" w:ascii="Times New Roman" w:hAnsi="Times New Roman"/>
          <w:sz w:val="24"/>
        </w:rPr>
        <w:t>Garden State Paper (ONP feedstock agreements)</w:t>
      </w:r>
    </w:p>
    <w:p>
      <w:pPr>
        <w:pStyle w:val="Normal"/>
        <w:ind w:hanging="360" w:start="720" w:end="0"/>
        <w:rPr>
          <w:rFonts w:ascii="Times New Roman" w:hAnsi="Times New Roman" w:cs="Times New Roman"/>
          <w:sz w:val="24"/>
        </w:rPr>
      </w:pPr>
      <w:r>
        <w:rPr>
          <w:rFonts w:cs="Times New Roman" w:ascii="Times New Roman" w:hAnsi="Times New Roman"/>
          <w:sz w:val="24"/>
        </w:rPr>
        <w:t>4.</w:t>
        <w:tab/>
        <w:t>Financial Trading [Carol St. Clair]</w:t>
      </w:r>
    </w:p>
    <w:p>
      <w:pPr>
        <w:pStyle w:val="Normal"/>
        <w:rPr>
          <w:rFonts w:ascii="Times New Roman" w:hAnsi="Times New Roman" w:cs="Times New Roman"/>
          <w:sz w:val="24"/>
        </w:rPr>
      </w:pPr>
      <w:r>
        <w:rPr>
          <w:rFonts w:cs="Times New Roman" w:ascii="Times New Roman" w:hAnsi="Times New Roman"/>
          <w:sz w:val="24"/>
        </w:rPr>
      </w:r>
    </w:p>
    <w:p>
      <w:pPr>
        <w:pStyle w:val="Heading2"/>
        <w:rPr>
          <w:rFonts w:eastAsia="Arial Unicode MS"/>
          <w:sz w:val="24"/>
        </w:rPr>
      </w:pPr>
      <w:r>
        <w:rPr>
          <w:sz w:val="24"/>
        </w:rPr>
        <w:t>Steel</w:t>
      </w:r>
    </w:p>
    <w:p>
      <w:pPr>
        <w:pStyle w:val="Normal"/>
        <w:rPr>
          <w:rFonts w:ascii="Times New Roman" w:hAnsi="Times New Roman" w:eastAsia="Arial Unicode MS" w:cs="Times New Roman"/>
          <w:sz w:val="24"/>
        </w:rPr>
      </w:pPr>
      <w:r>
        <w:rPr>
          <w:rFonts w:eastAsia="Arial Unicode MS" w:cs="Times New Roman" w:ascii="Times New Roman" w:hAnsi="Times New Roman"/>
          <w:sz w:val="24"/>
        </w:rPr>
      </w:r>
    </w:p>
    <w:p>
      <w:pPr>
        <w:pStyle w:val="Normal"/>
        <w:numPr>
          <w:ilvl w:val="0"/>
          <w:numId w:val="40"/>
        </w:numPr>
        <w:rPr>
          <w:rFonts w:ascii="Times New Roman" w:hAnsi="Times New Roman" w:cs="Times New Roman"/>
          <w:sz w:val="24"/>
        </w:rPr>
      </w:pPr>
      <w:r>
        <w:rPr>
          <w:rFonts w:cs="Times New Roman" w:ascii="Times New Roman" w:hAnsi="Times New Roman"/>
          <w:sz w:val="24"/>
        </w:rPr>
        <w:t>Clickpaper/EOL – Electronic Trading [Harry Collins/Dan Lyons]</w:t>
      </w:r>
    </w:p>
    <w:p>
      <w:pPr>
        <w:pStyle w:val="Normal"/>
        <w:numPr>
          <w:ilvl w:val="0"/>
          <w:numId w:val="27"/>
        </w:numPr>
        <w:rPr>
          <w:rFonts w:ascii="Times New Roman" w:hAnsi="Times New Roman" w:cs="Times New Roman"/>
          <w:sz w:val="24"/>
        </w:rPr>
      </w:pPr>
      <w:r>
        <w:rPr>
          <w:rFonts w:cs="Times New Roman" w:ascii="Times New Roman" w:hAnsi="Times New Roman"/>
          <w:sz w:val="24"/>
        </w:rPr>
        <w:t>Metals USA [Lou Stoler]</w:t>
      </w:r>
    </w:p>
    <w:p>
      <w:pPr>
        <w:pStyle w:val="Normal"/>
        <w:numPr>
          <w:ilvl w:val="0"/>
          <w:numId w:val="27"/>
        </w:numPr>
        <w:rPr>
          <w:rFonts w:ascii="Times New Roman" w:hAnsi="Times New Roman" w:cs="Times New Roman"/>
          <w:sz w:val="24"/>
        </w:rPr>
      </w:pPr>
      <w:r>
        <w:rPr>
          <w:rFonts w:cs="Times New Roman" w:ascii="Times New Roman" w:hAnsi="Times New Roman"/>
          <w:sz w:val="24"/>
        </w:rPr>
        <w:t>Webco [Dan Lyons]</w:t>
      </w:r>
    </w:p>
    <w:p>
      <w:pPr>
        <w:pStyle w:val="Normal"/>
        <w:numPr>
          <w:ilvl w:val="0"/>
          <w:numId w:val="27"/>
        </w:numPr>
        <w:rPr>
          <w:rFonts w:ascii="Times New Roman" w:hAnsi="Times New Roman" w:cs="Times New Roman"/>
          <w:sz w:val="24"/>
        </w:rPr>
      </w:pPr>
      <w:r>
        <w:rPr>
          <w:rFonts w:cs="Times New Roman" w:ascii="Times New Roman" w:hAnsi="Times New Roman"/>
          <w:sz w:val="24"/>
        </w:rPr>
        <w:t>Financial Trading [Carol St. Clair]</w:t>
      </w:r>
      <w:r>
        <w:br w:type="page"/>
      </w:r>
    </w:p>
    <w:p>
      <w:pPr>
        <w:pStyle w:val="Header"/>
        <w:tabs>
          <w:tab w:val="left" w:pos="720" w:leader="none"/>
          <w:tab w:val="center" w:pos="4320" w:leader="none"/>
          <w:tab w:val="right" w:pos="8640" w:leader="none"/>
        </w:tabs>
        <w:rPr>
          <w:rFonts w:ascii="Times New Roman" w:hAnsi="Times New Roman" w:cs="Times New Roman"/>
          <w:sz w:val="24"/>
        </w:rPr>
      </w:pPr>
      <w:r>
        <w:rPr>
          <w:rFonts w:cs="Times New Roman" w:ascii="Times New Roman" w:hAnsi="Times New Roman"/>
          <w:sz w:val="24"/>
        </w:rPr>
      </w:r>
    </w:p>
    <w:p>
      <w:pPr>
        <w:pStyle w:val="Heading2"/>
        <w:rPr>
          <w:rFonts w:eastAsia="Arial Unicode MS"/>
          <w:sz w:val="24"/>
        </w:rPr>
      </w:pPr>
      <w:r>
        <w:rPr>
          <w:sz w:val="24"/>
        </w:rPr>
        <w:t>Miscellaneous</w:t>
      </w:r>
    </w:p>
    <w:p>
      <w:pPr>
        <w:pStyle w:val="Normal"/>
        <w:rPr>
          <w:rFonts w:ascii="Times New Roman" w:hAnsi="Times New Roman" w:eastAsia="Arial Unicode MS" w:cs="Times New Roman"/>
          <w:sz w:val="24"/>
        </w:rPr>
      </w:pPr>
      <w:r>
        <w:rPr>
          <w:rFonts w:eastAsia="Arial Unicode MS" w:cs="Times New Roman" w:ascii="Times New Roman" w:hAnsi="Times New Roman"/>
          <w:sz w:val="24"/>
        </w:rPr>
      </w:r>
    </w:p>
    <w:p>
      <w:pPr>
        <w:pStyle w:val="Normal"/>
        <w:numPr>
          <w:ilvl w:val="0"/>
          <w:numId w:val="41"/>
        </w:numPr>
        <w:rPr>
          <w:rFonts w:ascii="Times New Roman" w:hAnsi="Times New Roman" w:cs="Times New Roman"/>
          <w:sz w:val="24"/>
        </w:rPr>
      </w:pPr>
      <w:r>
        <w:rPr>
          <w:rFonts w:cs="Times New Roman" w:ascii="Times New Roman" w:hAnsi="Times New Roman"/>
          <w:sz w:val="24"/>
        </w:rPr>
        <w:t>Establishment of Funding Vehicle [Julia Murray]</w:t>
      </w:r>
    </w:p>
    <w:p>
      <w:pPr>
        <w:pStyle w:val="Normal"/>
        <w:numPr>
          <w:ilvl w:val="0"/>
          <w:numId w:val="19"/>
        </w:numPr>
        <w:rPr>
          <w:rFonts w:ascii="Times New Roman" w:hAnsi="Times New Roman" w:cs="Times New Roman"/>
          <w:sz w:val="24"/>
        </w:rPr>
      </w:pPr>
      <w:r>
        <w:rPr>
          <w:rFonts w:cs="Times New Roman" w:ascii="Times New Roman" w:hAnsi="Times New Roman"/>
          <w:sz w:val="24"/>
        </w:rPr>
        <w:t>Funding for Project Crane and Metals USA [Julia Murray]</w:t>
      </w:r>
    </w:p>
    <w:p>
      <w:pPr>
        <w:pStyle w:val="Normal"/>
        <w:numPr>
          <w:ilvl w:val="0"/>
          <w:numId w:val="19"/>
        </w:numPr>
        <w:rPr>
          <w:rFonts w:ascii="Times New Roman" w:hAnsi="Times New Roman" w:cs="Times New Roman"/>
          <w:sz w:val="24"/>
        </w:rPr>
      </w:pPr>
      <w:r>
        <w:rPr>
          <w:rFonts w:cs="Times New Roman" w:ascii="Times New Roman" w:hAnsi="Times New Roman"/>
          <w:sz w:val="24"/>
        </w:rPr>
        <w:t>Education training [Julia Murray]</w:t>
      </w:r>
    </w:p>
    <w:p>
      <w:pPr>
        <w:pStyle w:val="Normal"/>
        <w:numPr>
          <w:ilvl w:val="1"/>
          <w:numId w:val="38"/>
        </w:numPr>
        <w:tabs>
          <w:tab w:val="clear" w:pos="720"/>
          <w:tab w:val="left" w:pos="1260" w:leader="none"/>
        </w:tabs>
        <w:rPr>
          <w:rFonts w:ascii="Times New Roman" w:hAnsi="Times New Roman" w:cs="Times New Roman"/>
          <w:sz w:val="24"/>
        </w:rPr>
      </w:pPr>
      <w:r>
        <w:rPr>
          <w:rFonts w:cs="Times New Roman" w:ascii="Times New Roman" w:hAnsi="Times New Roman"/>
          <w:sz w:val="24"/>
        </w:rPr>
        <w:t>Environmental (January 18, 2001)</w:t>
      </w:r>
    </w:p>
    <w:p>
      <w:pPr>
        <w:pStyle w:val="Normal"/>
        <w:numPr>
          <w:ilvl w:val="1"/>
          <w:numId w:val="38"/>
        </w:numPr>
        <w:tabs>
          <w:tab w:val="clear" w:pos="720"/>
          <w:tab w:val="left" w:pos="1260" w:leader="none"/>
        </w:tabs>
        <w:rPr>
          <w:rFonts w:ascii="Times New Roman" w:hAnsi="Times New Roman" w:cs="Times New Roman"/>
          <w:sz w:val="24"/>
        </w:rPr>
      </w:pPr>
      <w:r>
        <w:rPr>
          <w:rFonts w:cs="Times New Roman" w:ascii="Times New Roman" w:hAnsi="Times New Roman"/>
          <w:sz w:val="24"/>
        </w:rPr>
        <w:t>Labor &amp; Employment (January 26, 2001)</w:t>
      </w:r>
    </w:p>
    <w:p>
      <w:pPr>
        <w:pStyle w:val="Normal"/>
        <w:numPr>
          <w:ilvl w:val="1"/>
          <w:numId w:val="38"/>
        </w:numPr>
        <w:tabs>
          <w:tab w:val="clear" w:pos="720"/>
          <w:tab w:val="left" w:pos="1260" w:leader="none"/>
        </w:tabs>
        <w:rPr>
          <w:rFonts w:ascii="Times New Roman" w:hAnsi="Times New Roman" w:cs="Times New Roman"/>
          <w:sz w:val="24"/>
        </w:rPr>
      </w:pPr>
      <w:r>
        <w:rPr>
          <w:rFonts w:cs="Times New Roman" w:ascii="Times New Roman" w:hAnsi="Times New Roman"/>
          <w:sz w:val="24"/>
        </w:rPr>
        <w:t>AntiTrust –</w:t>
        <w:tab/>
        <w:t>Garden State (completed February 5, 2001)</w:t>
      </w:r>
    </w:p>
    <w:p>
      <w:pPr>
        <w:pStyle w:val="Normal"/>
        <w:tabs>
          <w:tab w:val="clear" w:pos="720"/>
          <w:tab w:val="left" w:pos="1260" w:leader="none"/>
        </w:tabs>
        <w:ind w:hanging="360" w:start="1260" w:end="0"/>
        <w:rPr>
          <w:rFonts w:ascii="Times New Roman" w:hAnsi="Times New Roman" w:cs="Times New Roman"/>
          <w:sz w:val="24"/>
        </w:rPr>
      </w:pPr>
      <w:r>
        <w:rPr>
          <w:rFonts w:cs="Times New Roman" w:ascii="Times New Roman" w:hAnsi="Times New Roman"/>
          <w:sz w:val="24"/>
        </w:rPr>
        <w:tab/>
        <w:tab/>
        <w:tab/>
        <w:tab/>
        <w:t>Houston (February 13, 2001)</w:t>
      </w:r>
    </w:p>
    <w:p>
      <w:pPr>
        <w:pStyle w:val="Normal"/>
        <w:numPr>
          <w:ilvl w:val="0"/>
          <w:numId w:val="26"/>
        </w:numPr>
        <w:tabs>
          <w:tab w:val="clear" w:pos="720"/>
          <w:tab w:val="left" w:pos="1260" w:leader="none"/>
        </w:tabs>
        <w:rPr>
          <w:rFonts w:ascii="Times New Roman" w:hAnsi="Times New Roman" w:cs="Times New Roman"/>
          <w:sz w:val="24"/>
        </w:rPr>
      </w:pPr>
      <w:r>
        <w:rPr>
          <w:rFonts w:cs="Times New Roman" w:ascii="Times New Roman" w:hAnsi="Times New Roman"/>
          <w:sz w:val="24"/>
        </w:rPr>
        <w:t>AntiBoycott, FCPA - Pending</w:t>
      </w:r>
    </w:p>
    <w:p>
      <w:pPr>
        <w:pStyle w:val="Normal"/>
        <w:numPr>
          <w:ilvl w:val="0"/>
          <w:numId w:val="38"/>
        </w:numPr>
        <w:rPr>
          <w:rFonts w:ascii="Times New Roman" w:hAnsi="Times New Roman" w:cs="Times New Roman"/>
          <w:sz w:val="24"/>
        </w:rPr>
      </w:pPr>
      <w:r>
        <w:rPr>
          <w:rFonts w:cs="Times New Roman" w:ascii="Times New Roman" w:hAnsi="Times New Roman"/>
          <w:sz w:val="24"/>
        </w:rPr>
        <w:t>Forms Review – Review of all Trading Paper</w:t>
      </w:r>
    </w:p>
    <w:p>
      <w:pPr>
        <w:pStyle w:val="Normal"/>
        <w:numPr>
          <w:ilvl w:val="0"/>
          <w:numId w:val="38"/>
        </w:numPr>
        <w:rPr>
          <w:rFonts w:ascii="Times New Roman" w:hAnsi="Times New Roman" w:cs="Times New Roman"/>
          <w:sz w:val="24"/>
        </w:rPr>
      </w:pPr>
      <w:r>
        <w:rPr>
          <w:rFonts w:cs="Times New Roman" w:ascii="Times New Roman" w:hAnsi="Times New Roman"/>
          <w:sz w:val="24"/>
        </w:rPr>
        <w:t>Review of Outside Counsel</w:t>
      </w:r>
    </w:p>
    <w:p>
      <w:pPr>
        <w:pStyle w:val="Normal"/>
        <w:numPr>
          <w:ilvl w:val="0"/>
          <w:numId w:val="38"/>
        </w:numPr>
        <w:rPr>
          <w:rFonts w:ascii="Times New Roman" w:hAnsi="Times New Roman" w:cs="Times New Roman"/>
          <w:sz w:val="24"/>
        </w:rPr>
      </w:pPr>
      <w:r>
        <w:rPr>
          <w:rFonts w:cs="Times New Roman" w:ascii="Times New Roman" w:hAnsi="Times New Roman"/>
          <w:sz w:val="24"/>
        </w:rPr>
        <w:t>Review of Outside Consultants</w:t>
      </w:r>
    </w:p>
    <w:p>
      <w:pPr>
        <w:pStyle w:val="Normal"/>
        <w:numPr>
          <w:ilvl w:val="0"/>
          <w:numId w:val="38"/>
        </w:numPr>
        <w:rPr>
          <w:rFonts w:ascii="Times New Roman" w:hAnsi="Times New Roman" w:cs="Times New Roman"/>
          <w:sz w:val="24"/>
        </w:rPr>
      </w:pPr>
      <w:r>
        <w:rPr>
          <w:rFonts w:cs="Times New Roman" w:ascii="Times New Roman" w:hAnsi="Times New Roman"/>
          <w:sz w:val="24"/>
        </w:rPr>
        <w:t>Legal Resources on EIM intranet</w:t>
      </w:r>
    </w:p>
    <w:p>
      <w:pPr>
        <w:pStyle w:val="Normal"/>
        <w:numPr>
          <w:ilvl w:val="0"/>
          <w:numId w:val="38"/>
        </w:numPr>
        <w:rPr>
          <w:rFonts w:ascii="Times New Roman" w:hAnsi="Times New Roman" w:cs="Times New Roman"/>
          <w:sz w:val="24"/>
        </w:rPr>
      </w:pPr>
      <w:r>
        <w:rPr>
          <w:rFonts w:cs="Times New Roman" w:ascii="Times New Roman" w:hAnsi="Times New Roman"/>
          <w:sz w:val="24"/>
        </w:rPr>
        <w:t xml:space="preserve">Live Link – Document storage/retention </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Heading8"/>
        <w:ind w:hanging="0" w:start="0"/>
        <w:rPr>
          <w:rFonts w:ascii="Times New Roman" w:hAnsi="Times New Roman" w:cs="Times New Roman"/>
          <w:sz w:val="24"/>
          <w:u w:val="single"/>
        </w:rPr>
      </w:pPr>
      <w:r>
        <w:rPr>
          <w:rFonts w:cs="Times New Roman" w:ascii="Times New Roman" w:hAnsi="Times New Roman"/>
          <w:sz w:val="24"/>
          <w:u w:val="single"/>
        </w:rPr>
        <w:t>Enron Global Markets LLC</w:t>
      </w:r>
    </w:p>
    <w:p>
      <w:pPr>
        <w:pStyle w:val="Normal"/>
        <w:jc w:val="center"/>
        <w:rPr>
          <w:rFonts w:ascii="Times New Roman" w:hAnsi="Times New Roman" w:cs="Times New Roman"/>
          <w:sz w:val="24"/>
          <w:u w:val="single"/>
        </w:rPr>
      </w:pPr>
      <w:r>
        <w:rPr>
          <w:rFonts w:cs="Times New Roman" w:ascii="Times New Roman" w:hAnsi="Times New Roman"/>
          <w:sz w:val="24"/>
          <w:u w:val="single"/>
        </w:rPr>
      </w:r>
    </w:p>
    <w:p>
      <w:pPr>
        <w:pStyle w:val="Header"/>
        <w:tabs>
          <w:tab w:val="clear" w:pos="4320"/>
          <w:tab w:val="clear" w:pos="8640"/>
        </w:tabs>
        <w:rPr>
          <w:rFonts w:ascii="Times New Roman" w:hAnsi="Times New Roman" w:cs="Times New Roman"/>
          <w:b/>
          <w:bCs/>
          <w:sz w:val="24"/>
        </w:rPr>
      </w:pPr>
      <w:r>
        <w:rPr>
          <w:rFonts w:cs="Times New Roman" w:ascii="Times New Roman" w:hAnsi="Times New Roman"/>
          <w:b/>
          <w:bCs/>
          <w:sz w:val="24"/>
        </w:rPr>
        <w:t>Coal</w:t>
      </w:r>
    </w:p>
    <w:p>
      <w:pPr>
        <w:pStyle w:val="Normal"/>
        <w:numPr>
          <w:ilvl w:val="0"/>
          <w:numId w:val="11"/>
        </w:numPr>
        <w:rPr>
          <w:rFonts w:ascii="Times New Roman" w:hAnsi="Times New Roman" w:cs="Times New Roman"/>
          <w:sz w:val="24"/>
        </w:rPr>
      </w:pPr>
      <w:r>
        <w:rPr>
          <w:rFonts w:cs="Times New Roman" w:ascii="Times New Roman" w:hAnsi="Times New Roman"/>
          <w:sz w:val="24"/>
        </w:rPr>
        <w:t xml:space="preserve">Sempra Synfuel Transaction Restructure &amp; related litigation (Wayne Gresham/Gail Brownfeld)  </w:t>
      </w:r>
    </w:p>
    <w:p>
      <w:pPr>
        <w:pStyle w:val="Normal"/>
        <w:numPr>
          <w:ilvl w:val="0"/>
          <w:numId w:val="11"/>
        </w:numPr>
        <w:rPr>
          <w:rFonts w:ascii="Times New Roman" w:hAnsi="Times New Roman" w:cs="Times New Roman"/>
          <w:sz w:val="24"/>
        </w:rPr>
      </w:pPr>
      <w:r>
        <w:rPr>
          <w:rFonts w:cs="Times New Roman" w:ascii="Times New Roman" w:hAnsi="Times New Roman"/>
          <w:sz w:val="24"/>
        </w:rPr>
        <w:t>AIG Synfuel Transaction (Wayne Gresham)</w:t>
      </w:r>
    </w:p>
    <w:p>
      <w:pPr>
        <w:pStyle w:val="Normal"/>
        <w:numPr>
          <w:ilvl w:val="0"/>
          <w:numId w:val="11"/>
        </w:numPr>
        <w:rPr>
          <w:rFonts w:ascii="Times New Roman" w:hAnsi="Times New Roman" w:cs="Times New Roman"/>
          <w:color w:val="000000"/>
          <w:sz w:val="24"/>
        </w:rPr>
      </w:pPr>
      <w:r>
        <w:rPr>
          <w:rFonts w:cs="Times New Roman" w:ascii="Times New Roman" w:hAnsi="Times New Roman"/>
          <w:color w:val="000000"/>
          <w:sz w:val="24"/>
        </w:rPr>
        <w:t>Stadtwerke Bremen Transaction (Robert Quick\Michael Schuh)</w:t>
      </w:r>
    </w:p>
    <w:p>
      <w:pPr>
        <w:pStyle w:val="Normal"/>
        <w:numPr>
          <w:ilvl w:val="0"/>
          <w:numId w:val="11"/>
        </w:numPr>
        <w:rPr>
          <w:rFonts w:ascii="Times New Roman" w:hAnsi="Times New Roman" w:cs="Times New Roman"/>
          <w:sz w:val="24"/>
        </w:rPr>
      </w:pPr>
      <w:r>
        <w:rPr>
          <w:rFonts w:cs="Times New Roman" w:ascii="Times New Roman" w:hAnsi="Times New Roman"/>
          <w:color w:val="000000"/>
          <w:sz w:val="24"/>
        </w:rPr>
        <w:t>Mitsui 10 year time charter (with option to purchase) (Robert Quick)</w:t>
      </w:r>
    </w:p>
    <w:p>
      <w:pPr>
        <w:pStyle w:val="Normal"/>
        <w:numPr>
          <w:ilvl w:val="0"/>
          <w:numId w:val="11"/>
        </w:numPr>
        <w:rPr>
          <w:rFonts w:ascii="Times New Roman" w:hAnsi="Times New Roman" w:cs="Times New Roman"/>
          <w:sz w:val="24"/>
        </w:rPr>
      </w:pPr>
      <w:r>
        <w:rPr>
          <w:rFonts w:cs="Times New Roman" w:ascii="Times New Roman" w:hAnsi="Times New Roman"/>
          <w:color w:val="000000"/>
          <w:sz w:val="24"/>
        </w:rPr>
        <w:t>Panther Restructure (Wayne Gresham)</w:t>
      </w:r>
    </w:p>
    <w:p>
      <w:pPr>
        <w:pStyle w:val="Normal"/>
        <w:numPr>
          <w:ilvl w:val="0"/>
          <w:numId w:val="11"/>
        </w:numPr>
        <w:rPr>
          <w:rFonts w:ascii="Times New Roman" w:hAnsi="Times New Roman" w:cs="Times New Roman"/>
          <w:sz w:val="24"/>
        </w:rPr>
      </w:pPr>
      <w:r>
        <w:rPr>
          <w:rFonts w:cs="Times New Roman" w:ascii="Times New Roman" w:hAnsi="Times New Roman"/>
          <w:color w:val="000000"/>
          <w:sz w:val="24"/>
        </w:rPr>
        <w:t>Sale to Hidroelectrica del Cantabrico (Rahul Saxena)</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Emissions/Clean Energy Solutions</w:t>
      </w:r>
    </w:p>
    <w:p>
      <w:pPr>
        <w:pStyle w:val="Normal"/>
        <w:ind w:start="360" w:end="0"/>
        <w:rPr>
          <w:rFonts w:ascii="Times New Roman" w:hAnsi="Times New Roman" w:cs="Times New Roman"/>
          <w:sz w:val="24"/>
        </w:rPr>
      </w:pPr>
      <w:r>
        <w:rPr>
          <w:rFonts w:cs="Times New Roman" w:ascii="Times New Roman" w:hAnsi="Times New Roman"/>
          <w:color w:val="000000"/>
          <w:sz w:val="24"/>
        </w:rPr>
        <w:t>1.</w:t>
        <w:tab/>
        <w:t>Emissions Trading Contract Dispute w/ Reliant Energy--now resolved (Marcus Nettelton)</w:t>
      </w:r>
    </w:p>
    <w:p>
      <w:pPr>
        <w:pStyle w:val="Normal"/>
        <w:ind w:start="360" w:end="0"/>
        <w:rPr>
          <w:rFonts w:ascii="Times New Roman" w:hAnsi="Times New Roman" w:cs="Times New Roman"/>
          <w:sz w:val="24"/>
        </w:rPr>
      </w:pPr>
      <w:r>
        <w:rPr>
          <w:rFonts w:cs="Times New Roman" w:ascii="Times New Roman" w:hAnsi="Times New Roman"/>
          <w:color w:val="000000"/>
          <w:sz w:val="24"/>
        </w:rPr>
        <w:t>2.</w:t>
        <w:tab/>
        <w:t>Emissions Trading Contract Dispute w/ PG&amp;E (Wayne Gresham)</w:t>
      </w:r>
    </w:p>
    <w:p>
      <w:pPr>
        <w:pStyle w:val="Normal"/>
        <w:ind w:start="360" w:end="0"/>
        <w:rPr>
          <w:rFonts w:ascii="Times New Roman" w:hAnsi="Times New Roman" w:cs="Times New Roman"/>
          <w:sz w:val="24"/>
        </w:rPr>
      </w:pPr>
      <w:r>
        <w:rPr>
          <w:rFonts w:cs="Times New Roman" w:ascii="Times New Roman" w:hAnsi="Times New Roman"/>
          <w:color w:val="000000"/>
          <w:sz w:val="24"/>
        </w:rPr>
        <w:t>3.</w:t>
        <w:tab/>
        <w:t>Emissions Management Services w/ TVA (Wayne Gresham)</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tabs>
          <w:tab w:val="left" w:pos="720" w:leader="none"/>
        </w:tabs>
        <w:rPr>
          <w:rFonts w:ascii="Times New Roman" w:hAnsi="Times New Roman" w:cs="Times New Roman"/>
          <w:b/>
          <w:bCs/>
          <w:sz w:val="24"/>
        </w:rPr>
      </w:pPr>
      <w:r>
        <w:rPr>
          <w:rFonts w:cs="Times New Roman" w:ascii="Times New Roman" w:hAnsi="Times New Roman"/>
          <w:b/>
          <w:bCs/>
          <w:sz w:val="24"/>
        </w:rPr>
        <w:t xml:space="preserve">Liquids/Global Products </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Envera Equity Investment—closed February ‘01 (John Viverito/Mike Robison)</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Project Ice –Due Diligence Evaluation (Alan Aronowitz/Mike Robison/John Viverito)</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Ethanol Offtake and Marketing Agreement – ECFC/Canadian Grain Fractions International Ltd. (Mike Robison)</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Star VPP Offtake Master Agreement (John Viverito)</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Physical Plastics Trading Start-Up (Alan Aronowitz/Mike Robison/John Viverito)</w:t>
      </w:r>
    </w:p>
    <w:p>
      <w:pPr>
        <w:pStyle w:val="Normal"/>
        <w:numPr>
          <w:ilvl w:val="0"/>
          <w:numId w:val="33"/>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Master Liquids Purchase &amp; Sale Agreement (Alan Aronowitz/John Viverito)</w:t>
      </w:r>
    </w:p>
    <w:p>
      <w:pPr>
        <w:pStyle w:val="Normal"/>
        <w:numPr>
          <w:ilvl w:val="0"/>
          <w:numId w:val="33"/>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Agreement for Supply of Motor Gasoline and LS Diesel – Enron Fuels Carribbean, L.P./Peerless Oil &amp; Chemical, Inc. (Mike Robison/John Viverito)</w:t>
      </w:r>
    </w:p>
    <w:p>
      <w:pPr>
        <w:pStyle w:val="Normal"/>
        <w:numPr>
          <w:ilvl w:val="0"/>
          <w:numId w:val="33"/>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Orion Refinery Inventory Financing (Mike Robison/John Viverito/Alan Aronowitz)</w:t>
      </w:r>
    </w:p>
    <w:p>
      <w:pPr>
        <w:pStyle w:val="Normal"/>
        <w:numPr>
          <w:ilvl w:val="0"/>
          <w:numId w:val="33"/>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VPP Crude Oil Physical Prepay (North Sea) (Robert Quick)</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First Gas Power Corporation (Philippines) – M/V Pacific Virgo/Rejection of Off Spec Cargo (Matt Lee)</w:t>
      </w:r>
    </w:p>
    <w:p>
      <w:pPr>
        <w:pStyle w:val="Normal"/>
        <w:numPr>
          <w:ilvl w:val="0"/>
          <w:numId w:val="33"/>
        </w:numPr>
        <w:ind w:hanging="360" w:start="720" w:end="0"/>
        <w:rPr>
          <w:rFonts w:ascii="Times New Roman" w:hAnsi="Times New Roman" w:cs="Times New Roman"/>
          <w:sz w:val="24"/>
        </w:rPr>
      </w:pPr>
      <w:r>
        <w:rPr>
          <w:rFonts w:cs="Times New Roman" w:ascii="Times New Roman" w:hAnsi="Times New Roman"/>
          <w:sz w:val="24"/>
        </w:rPr>
        <w:t>First Gas Contract – Legal Position Evaluation (Bob Williams/Alan Aronowitz/Matt Lee)</w:t>
      </w:r>
    </w:p>
    <w:p>
      <w:pPr>
        <w:pStyle w:val="Normal"/>
        <w:ind w:start="360" w:end="0"/>
        <w:rPr>
          <w:rFonts w:ascii="Times New Roman" w:hAnsi="Times New Roman" w:cs="Times New Roman"/>
          <w:b/>
          <w:bCs/>
          <w:sz w:val="24"/>
        </w:rPr>
      </w:pPr>
      <w:r>
        <w:rPr>
          <w:rFonts w:cs="Times New Roman" w:ascii="Times New Roman" w:hAnsi="Times New Roman"/>
          <w:b/>
          <w:bCs/>
          <w:sz w:val="24"/>
        </w:rPr>
      </w:r>
    </w:p>
    <w:p>
      <w:pPr>
        <w:pStyle w:val="Heading3"/>
        <w:ind w:hanging="0" w:start="0"/>
        <w:jc w:val="start"/>
        <w:rPr>
          <w:sz w:val="24"/>
        </w:rPr>
      </w:pPr>
      <w:r>
        <w:rPr>
          <w:sz w:val="24"/>
        </w:rPr>
        <w:t>Financial Products Trading</w:t>
      </w:r>
    </w:p>
    <w:p>
      <w:pPr>
        <w:pStyle w:val="Normal"/>
        <w:numPr>
          <w:ilvl w:val="0"/>
          <w:numId w:val="28"/>
        </w:numPr>
        <w:rPr>
          <w:rFonts w:ascii="Times New Roman" w:hAnsi="Times New Roman" w:cs="Times New Roman"/>
          <w:sz w:val="24"/>
        </w:rPr>
      </w:pPr>
      <w:r>
        <w:rPr>
          <w:rFonts w:cs="Times New Roman" w:ascii="Times New Roman" w:hAnsi="Times New Roman"/>
          <w:sz w:val="24"/>
        </w:rPr>
        <w:t>Trading of all FX products on EOL (Sara Shackleton)</w:t>
      </w:r>
    </w:p>
    <w:p>
      <w:pPr>
        <w:pStyle w:val="Normal"/>
        <w:numPr>
          <w:ilvl w:val="0"/>
          <w:numId w:val="28"/>
        </w:numPr>
        <w:rPr>
          <w:rFonts w:ascii="Times New Roman" w:hAnsi="Times New Roman" w:cs="Times New Roman"/>
          <w:sz w:val="24"/>
        </w:rPr>
      </w:pPr>
      <w:r>
        <w:rPr>
          <w:rFonts w:cs="Times New Roman" w:ascii="Times New Roman" w:hAnsi="Times New Roman"/>
          <w:sz w:val="24"/>
        </w:rPr>
        <w:t>Tokyo financial products trading (Jane McBride)</w:t>
      </w:r>
    </w:p>
    <w:p>
      <w:pPr>
        <w:pStyle w:val="Normal"/>
        <w:numPr>
          <w:ilvl w:val="0"/>
          <w:numId w:val="28"/>
        </w:numPr>
        <w:rPr>
          <w:rFonts w:ascii="Times New Roman" w:hAnsi="Times New Roman" w:cs="Times New Roman"/>
          <w:sz w:val="24"/>
        </w:rPr>
      </w:pPr>
      <w:r>
        <w:rPr>
          <w:rFonts w:cs="Times New Roman" w:ascii="Times New Roman" w:hAnsi="Times New Roman"/>
          <w:sz w:val="24"/>
        </w:rPr>
        <w:t>London Equity Trading (Justin Boyd/Jonathan Marsh)</w:t>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b/>
          <w:bCs/>
          <w:sz w:val="24"/>
        </w:rPr>
      </w:pPr>
      <w:r>
        <w:rPr>
          <w:rFonts w:cs="Times New Roman" w:ascii="Times New Roman" w:hAnsi="Times New Roman"/>
          <w:b/>
          <w:bCs/>
          <w:sz w:val="24"/>
        </w:rPr>
        <w:t>Transportation/Freight Markets</w:t>
      </w:r>
    </w:p>
    <w:p>
      <w:pPr>
        <w:pStyle w:val="Normal"/>
        <w:numPr>
          <w:ilvl w:val="1"/>
          <w:numId w:val="33"/>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Transportation Capacity Trading Start-up (Alan Aronowitz)</w:t>
      </w:r>
    </w:p>
    <w:p>
      <w:pPr>
        <w:pStyle w:val="Normal"/>
        <w:numPr>
          <w:ilvl w:val="1"/>
          <w:numId w:val="33"/>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WebModal Acquisition &amp; Integration (Jim Grace/Alan Aronowitz)</w:t>
      </w:r>
    </w:p>
    <w:p>
      <w:pPr>
        <w:pStyle w:val="Normal"/>
        <w:numPr>
          <w:ilvl w:val="1"/>
          <w:numId w:val="33"/>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Truckload Capacity Sale to Dial Corp. (Alan Aronowitz)</w:t>
      </w:r>
    </w:p>
    <w:p>
      <w:pPr>
        <w:pStyle w:val="Normal"/>
        <w:tabs>
          <w:tab w:val="left" w:pos="36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keepNext w:val="true"/>
        <w:rPr>
          <w:rFonts w:ascii="Times New Roman" w:hAnsi="Times New Roman" w:cs="Times New Roman"/>
          <w:b/>
          <w:bCs/>
          <w:sz w:val="24"/>
        </w:rPr>
      </w:pPr>
      <w:r>
        <w:rPr>
          <w:rFonts w:cs="Times New Roman" w:ascii="Times New Roman" w:hAnsi="Times New Roman"/>
          <w:b/>
          <w:bCs/>
          <w:sz w:val="24"/>
        </w:rPr>
        <w:t>Agricultural Trading (Sara Shackleton/Bob Bruce)</w:t>
      </w:r>
    </w:p>
    <w:p>
      <w:pPr>
        <w:pStyle w:val="Normal"/>
        <w:numPr>
          <w:ilvl w:val="0"/>
          <w:numId w:val="5"/>
        </w:numPr>
        <w:rPr>
          <w:rFonts w:ascii="Times New Roman" w:hAnsi="Times New Roman" w:cs="Times New Roman"/>
          <w:sz w:val="24"/>
        </w:rPr>
      </w:pPr>
      <w:r>
        <w:rPr>
          <w:rFonts w:cs="Times New Roman" w:ascii="Times New Roman" w:hAnsi="Times New Roman"/>
          <w:sz w:val="24"/>
        </w:rPr>
        <w:t>Early/mid-April roll-out of "softs" swaps on EOL</w:t>
      </w:r>
    </w:p>
    <w:p>
      <w:pPr>
        <w:pStyle w:val="Normal"/>
        <w:numPr>
          <w:ilvl w:val="0"/>
          <w:numId w:val="5"/>
        </w:numPr>
        <w:rPr>
          <w:rFonts w:ascii="Times New Roman" w:hAnsi="Times New Roman" w:cs="Times New Roman"/>
          <w:sz w:val="24"/>
        </w:rPr>
      </w:pPr>
      <w:r>
        <w:rPr>
          <w:rFonts w:cs="Times New Roman" w:ascii="Times New Roman" w:hAnsi="Times New Roman"/>
          <w:sz w:val="24"/>
        </w:rPr>
        <w:t>Monitor pending CFTC rules relating to new definition of "agricultural commodity"; coordinate with Regulatory/Pubic Affairs in CFTC comment process.</w:t>
      </w:r>
    </w:p>
    <w:p>
      <w:pPr>
        <w:pStyle w:val="Normal"/>
        <w:numPr>
          <w:ilvl w:val="0"/>
          <w:numId w:val="5"/>
        </w:numPr>
        <w:rPr>
          <w:rFonts w:ascii="Times New Roman" w:hAnsi="Times New Roman" w:cs="Times New Roman"/>
          <w:sz w:val="24"/>
        </w:rPr>
      </w:pPr>
      <w:r>
        <w:rPr>
          <w:rFonts w:cs="Times New Roman" w:ascii="Times New Roman" w:hAnsi="Times New Roman"/>
          <w:sz w:val="24"/>
        </w:rPr>
        <w:t>Develop Chinese Wall policy for “softs” futures commission merchant business</w:t>
      </w:r>
    </w:p>
    <w:p>
      <w:pPr>
        <w:pStyle w:val="Normal"/>
        <w:numPr>
          <w:ilvl w:val="0"/>
          <w:numId w:val="5"/>
        </w:numPr>
        <w:rPr>
          <w:rFonts w:ascii="Times New Roman" w:hAnsi="Times New Roman" w:cs="Times New Roman"/>
          <w:sz w:val="24"/>
        </w:rPr>
      </w:pPr>
      <w:r>
        <w:rPr>
          <w:rFonts w:cs="Times New Roman" w:ascii="Times New Roman" w:hAnsi="Times New Roman"/>
          <w:sz w:val="24"/>
        </w:rPr>
        <w:t>Structuring of long-dated grains transactions</w:t>
      </w:r>
    </w:p>
    <w:p>
      <w:pPr>
        <w:pStyle w:val="Normal"/>
        <w:numPr>
          <w:ilvl w:val="0"/>
          <w:numId w:val="5"/>
        </w:numPr>
        <w:rPr>
          <w:rFonts w:ascii="Times New Roman" w:hAnsi="Times New Roman" w:cs="Times New Roman"/>
          <w:sz w:val="24"/>
        </w:rPr>
      </w:pPr>
      <w:r>
        <w:rPr>
          <w:rFonts w:cs="Times New Roman" w:ascii="Times New Roman" w:hAnsi="Times New Roman"/>
          <w:sz w:val="24"/>
        </w:rPr>
        <w:t>Survey of European jurisdictions on agricultural derivatives (Paul Simons)</w:t>
      </w:r>
    </w:p>
    <w:p>
      <w:pPr>
        <w:pStyle w:val="Header"/>
        <w:tabs>
          <w:tab w:val="clear" w:pos="4320"/>
          <w:tab w:val="clear" w:pos="8640"/>
        </w:tabs>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 xml:space="preserve">Weather </w:t>
      </w:r>
    </w:p>
    <w:p>
      <w:pPr>
        <w:pStyle w:val="Normal"/>
        <w:autoSpaceDE w:val="false"/>
        <w:spacing w:lineRule="atLeast" w:line="240"/>
        <w:ind w:hanging="360" w:start="720" w:end="0"/>
        <w:rPr>
          <w:rFonts w:ascii="Times New Roman" w:hAnsi="Times New Roman" w:cs="Times New Roman"/>
          <w:color w:val="000000"/>
          <w:sz w:val="24"/>
          <w:szCs w:val="22"/>
        </w:rPr>
      </w:pPr>
      <w:r>
        <w:rPr>
          <w:rFonts w:cs="Times New Roman" w:ascii="Times New Roman" w:hAnsi="Times New Roman"/>
          <w:color w:val="000000"/>
          <w:sz w:val="24"/>
          <w:szCs w:val="22"/>
        </w:rPr>
        <w:t>1.</w:t>
        <w:tab/>
        <w:t>Revise EOL GTCs to enable ENA to trade worldwide sites (Brent Hendry)</w:t>
      </w:r>
    </w:p>
    <w:p>
      <w:pPr>
        <w:pStyle w:val="Normal"/>
        <w:autoSpaceDE w:val="false"/>
        <w:spacing w:lineRule="atLeast" w:line="240"/>
        <w:ind w:hanging="360" w:start="720" w:end="0"/>
        <w:rPr>
          <w:rFonts w:ascii="Times New Roman" w:hAnsi="Times New Roman" w:cs="Times New Roman"/>
          <w:color w:val="000000"/>
          <w:sz w:val="24"/>
          <w:szCs w:val="22"/>
        </w:rPr>
      </w:pPr>
      <w:r>
        <w:rPr>
          <w:rFonts w:cs="Times New Roman" w:ascii="Times New Roman" w:hAnsi="Times New Roman"/>
          <w:color w:val="000000"/>
          <w:sz w:val="24"/>
          <w:szCs w:val="22"/>
        </w:rPr>
        <w:t>2.</w:t>
        <w:tab/>
        <w:t>Research Grant Documentation for scientific research on climate variability and change (Brent Hendry)</w:t>
      </w:r>
    </w:p>
    <w:p>
      <w:pPr>
        <w:pStyle w:val="Normal"/>
        <w:tabs>
          <w:tab w:val="clear" w:pos="720"/>
          <w:tab w:val="left" w:pos="360" w:leader="none"/>
        </w:tabs>
        <w:autoSpaceDE w:val="false"/>
        <w:spacing w:lineRule="atLeast" w:line="240"/>
        <w:ind w:hanging="780" w:start="1140" w:end="0"/>
        <w:rPr>
          <w:rFonts w:ascii="Times New Roman" w:hAnsi="Times New Roman" w:cs="Times New Roman"/>
          <w:color w:val="000000"/>
          <w:sz w:val="24"/>
          <w:szCs w:val="22"/>
        </w:rPr>
      </w:pPr>
      <w:r>
        <w:rPr>
          <w:rFonts w:cs="Times New Roman" w:ascii="Times New Roman" w:hAnsi="Times New Roman"/>
          <w:color w:val="000000"/>
          <w:sz w:val="24"/>
          <w:szCs w:val="22"/>
        </w:rPr>
        <w:t>3.   Review of third party patent application for weather pricing model (Brent Hendry)</w:t>
      </w:r>
    </w:p>
    <w:p>
      <w:pPr>
        <w:pStyle w:val="Normal"/>
        <w:tabs>
          <w:tab w:val="left" w:pos="720" w:leader="none"/>
        </w:tabs>
        <w:autoSpaceDE w:val="false"/>
        <w:spacing w:lineRule="atLeast" w:line="240"/>
        <w:ind w:hanging="360" w:start="720" w:end="0"/>
        <w:rPr>
          <w:rFonts w:ascii="Times New Roman" w:hAnsi="Times New Roman" w:cs="Times New Roman"/>
          <w:color w:val="000000"/>
          <w:sz w:val="24"/>
          <w:szCs w:val="22"/>
        </w:rPr>
      </w:pPr>
      <w:r>
        <w:rPr>
          <w:rFonts w:cs="Times New Roman" w:ascii="Times New Roman" w:hAnsi="Times New Roman"/>
          <w:color w:val="000000"/>
          <w:sz w:val="24"/>
          <w:szCs w:val="22"/>
        </w:rPr>
        <w:t>4.   Develop documentation for new EOL product to mirror Koch weather bond basket (Brent Hendry)</w:t>
      </w:r>
    </w:p>
    <w:p>
      <w:pPr>
        <w:pStyle w:val="Normal"/>
        <w:tabs>
          <w:tab w:val="clear" w:pos="720"/>
          <w:tab w:val="left" w:pos="360" w:leader="none"/>
        </w:tabs>
        <w:autoSpaceDE w:val="false"/>
        <w:spacing w:lineRule="atLeast" w:line="240"/>
        <w:ind w:start="360" w:end="0"/>
        <w:rPr>
          <w:rFonts w:ascii="Times New Roman" w:hAnsi="Times New Roman" w:cs="Times New Roman"/>
          <w:color w:val="000000"/>
          <w:sz w:val="24"/>
          <w:szCs w:val="22"/>
        </w:rPr>
      </w:pPr>
      <w:r>
        <w:rPr>
          <w:rFonts w:cs="Times New Roman" w:ascii="Times New Roman" w:hAnsi="Times New Roman"/>
          <w:color w:val="000000"/>
          <w:sz w:val="24"/>
          <w:szCs w:val="22"/>
        </w:rPr>
        <w:t>5.   Weather Prepay (Stephen Douglas/Alan Aronowitz)</w:t>
      </w:r>
    </w:p>
    <w:p>
      <w:pPr>
        <w:pStyle w:val="Normal"/>
        <w:tabs>
          <w:tab w:val="clear" w:pos="720"/>
          <w:tab w:val="left" w:pos="360" w:leader="none"/>
        </w:tabs>
        <w:autoSpaceDE w:val="false"/>
        <w:spacing w:lineRule="atLeast" w:line="240"/>
        <w:ind w:start="360" w:end="0"/>
        <w:rPr>
          <w:rFonts w:ascii="Times New Roman" w:hAnsi="Times New Roman" w:cs="Times New Roman"/>
          <w:color w:val="000000"/>
          <w:sz w:val="24"/>
          <w:szCs w:val="22"/>
        </w:rPr>
      </w:pPr>
      <w:r>
        <w:rPr>
          <w:rFonts w:cs="Times New Roman" w:ascii="Times New Roman" w:hAnsi="Times New Roman"/>
          <w:color w:val="000000"/>
          <w:sz w:val="24"/>
          <w:szCs w:val="22"/>
        </w:rPr>
        <w:t>6.   European Weather Trading (Justin Boyd)</w:t>
      </w:r>
    </w:p>
    <w:p>
      <w:pPr>
        <w:pStyle w:val="Normal"/>
        <w:rPr>
          <w:rFonts w:ascii="Times New Roman" w:hAnsi="Times New Roman" w:cs="Times New Roman"/>
          <w:b/>
          <w:bCs/>
          <w:color w:val="000000"/>
          <w:sz w:val="24"/>
          <w:szCs w:val="22"/>
        </w:rPr>
      </w:pPr>
      <w:r>
        <w:rPr>
          <w:rFonts w:cs="Times New Roman" w:ascii="Times New Roman" w:hAnsi="Times New Roman"/>
          <w:b/>
          <w:bCs/>
          <w:color w:val="000000"/>
          <w:sz w:val="24"/>
          <w:szCs w:val="22"/>
        </w:rPr>
      </w:r>
    </w:p>
    <w:p>
      <w:pPr>
        <w:pStyle w:val="Normal"/>
        <w:keepNext w:val="true"/>
        <w:keepLines/>
        <w:rPr>
          <w:rFonts w:ascii="Times New Roman" w:hAnsi="Times New Roman" w:cs="Times New Roman"/>
          <w:b/>
          <w:bCs/>
          <w:sz w:val="24"/>
        </w:rPr>
      </w:pPr>
      <w:r>
        <w:rPr>
          <w:rFonts w:cs="Times New Roman" w:ascii="Times New Roman" w:hAnsi="Times New Roman"/>
          <w:b/>
          <w:bCs/>
          <w:sz w:val="24"/>
        </w:rPr>
        <w:t>Insurance (Lou Stoler)</w:t>
      </w:r>
    </w:p>
    <w:p>
      <w:pPr>
        <w:pStyle w:val="Header"/>
        <w:keepNext w:val="true"/>
        <w:keepLines/>
        <w:numPr>
          <w:ilvl w:val="0"/>
          <w:numId w:val="7"/>
        </w:numPr>
        <w:tabs>
          <w:tab w:val="clear" w:pos="4320"/>
          <w:tab w:val="clear" w:pos="8640"/>
          <w:tab w:val="left" w:pos="360" w:leader="none"/>
          <w:tab w:val="left" w:pos="720" w:leader="none"/>
        </w:tabs>
        <w:ind w:hanging="0" w:start="360" w:end="0"/>
        <w:rPr>
          <w:rFonts w:ascii="Times New Roman" w:hAnsi="Times New Roman" w:cs="Times New Roman"/>
          <w:sz w:val="24"/>
        </w:rPr>
      </w:pPr>
      <w:r>
        <w:rPr>
          <w:rFonts w:cs="Times New Roman" w:ascii="Times New Roman" w:hAnsi="Times New Roman"/>
          <w:sz w:val="24"/>
        </w:rPr>
        <w:t>Peaker Project (term financing with insurance credit wrap)</w:t>
      </w:r>
    </w:p>
    <w:p>
      <w:pPr>
        <w:pStyle w:val="Normal"/>
        <w:keepNext w:val="true"/>
        <w:keepLines/>
        <w:numPr>
          <w:ilvl w:val="0"/>
          <w:numId w:val="7"/>
        </w:numPr>
        <w:tabs>
          <w:tab w:val="left" w:pos="720" w:leader="none"/>
        </w:tabs>
        <w:ind w:hanging="0" w:start="360" w:end="0"/>
        <w:rPr>
          <w:rFonts w:ascii="Times New Roman" w:hAnsi="Times New Roman" w:cs="Times New Roman"/>
          <w:sz w:val="24"/>
        </w:rPr>
      </w:pPr>
      <w:r>
        <w:rPr>
          <w:rFonts w:cs="Times New Roman" w:ascii="Times New Roman" w:hAnsi="Times New Roman"/>
          <w:sz w:val="24"/>
        </w:rPr>
        <w:t>Enron Re (development projects)</w:t>
      </w:r>
    </w:p>
    <w:p>
      <w:pPr>
        <w:pStyle w:val="Normal"/>
        <w:keepNext w:val="true"/>
        <w:keepLines/>
        <w:numPr>
          <w:ilvl w:val="0"/>
          <w:numId w:val="7"/>
        </w:numPr>
        <w:tabs>
          <w:tab w:val="left" w:pos="720" w:leader="none"/>
        </w:tabs>
        <w:ind w:hanging="0" w:start="360" w:end="0"/>
        <w:rPr>
          <w:rFonts w:ascii="Times New Roman" w:hAnsi="Times New Roman" w:cs="Times New Roman"/>
          <w:sz w:val="24"/>
        </w:rPr>
      </w:pPr>
      <w:r>
        <w:rPr>
          <w:rFonts w:cs="Times New Roman" w:ascii="Times New Roman" w:hAnsi="Times New Roman"/>
          <w:sz w:val="24"/>
        </w:rPr>
        <w:t>R</w:t>
      </w:r>
      <w:r>
        <w:rPr>
          <w:rFonts w:cs="Times New Roman" w:ascii="Times New Roman" w:hAnsi="Times New Roman"/>
          <w:sz w:val="24"/>
          <w:vertAlign w:val="superscript"/>
        </w:rPr>
        <w:t xml:space="preserve">2 </w:t>
      </w:r>
      <w:r>
        <w:rPr>
          <w:rFonts w:cs="Times New Roman" w:ascii="Times New Roman" w:hAnsi="Times New Roman"/>
          <w:sz w:val="24"/>
        </w:rPr>
        <w:t>Limited (Formation of Bermuda Transformer)</w:t>
      </w:r>
    </w:p>
    <w:p>
      <w:pPr>
        <w:pStyle w:val="Normal"/>
        <w:keepNext w:val="true"/>
        <w:keepLines/>
        <w:numPr>
          <w:ilvl w:val="0"/>
          <w:numId w:val="7"/>
        </w:numPr>
        <w:tabs>
          <w:tab w:val="left" w:pos="720" w:leader="none"/>
        </w:tabs>
        <w:ind w:hanging="0" w:start="360" w:end="0"/>
        <w:rPr>
          <w:rFonts w:ascii="Times New Roman" w:hAnsi="Times New Roman" w:cs="Times New Roman"/>
          <w:sz w:val="24"/>
        </w:rPr>
      </w:pPr>
      <w:r>
        <w:rPr>
          <w:rFonts w:cs="Times New Roman" w:ascii="Times New Roman" w:hAnsi="Times New Roman"/>
          <w:sz w:val="24"/>
        </w:rPr>
        <w:t>Multi-Trigger Product</w:t>
      </w:r>
    </w:p>
    <w:p>
      <w:pPr>
        <w:pStyle w:val="Normal"/>
        <w:keepNext w:val="true"/>
        <w:keepLines/>
        <w:rPr>
          <w:rFonts w:ascii="Times New Roman" w:hAnsi="Times New Roman" w:cs="Times New Roman"/>
          <w:sz w:val="24"/>
        </w:rPr>
      </w:pPr>
      <w:r>
        <w:rPr>
          <w:rFonts w:cs="Times New Roman" w:ascii="Times New Roman" w:hAnsi="Times New Roman"/>
          <w:sz w:val="24"/>
        </w:rPr>
      </w:r>
    </w:p>
    <w:p>
      <w:pPr>
        <w:pStyle w:val="Heading2"/>
        <w:rPr>
          <w:sz w:val="24"/>
        </w:rPr>
      </w:pPr>
      <w:r>
        <w:rPr>
          <w:sz w:val="24"/>
        </w:rPr>
        <w:t>LNG/Caribbean</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Jose, Venezuela LNG Export Facility (Ned Crady/Dan Rogers)</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 xml:space="preserve">LNG Sale to El Paso Marketing [Elba Island, Georgia Receiving Terminal] (Dan Rogers) </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EcoElectrica [Puerto Rico] LNG Receiving &amp; Regasification Terminal/Power Plant (Coralina Rivera)</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EcoElectrica [Puerto Rico] LNG Receiving Terminal Expansion/Gas Distribution (Coralina Rivera)</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Sale of Progasco (Coralina Rivera)</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Bahamas LNG Receiving Terminal/Export Pipeline (Ned Crady)</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South Florida [Tampa] LNG Receiving Terminal (Ned Crady)</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US West Coast Receiving Terminal (Ned Crady)</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Spain (Arcos) LNG Fuel Supply/Transportation (Robert Quick/Dan Rogers)</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Dominican Republic LNG Receiving Terminal/Power Plant (Coralina Rivera)</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Dabhol IPP Phase II LNG Fuel Supply &amp; Fuel Management (Dan Rogers)</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Australia LNG Fuel Origination/Merchant Trading (Dan Rogers/Matt Lee)</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Japan LNG Receiving Terminal (Dan Rogers/Matt Lee)</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AdGas [Abu Dhabi] Mid-Term LNG Fuel Origination/Merchant Trading (Dan Rogers)</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Spot LNG Fuel Origination/Merchant Trading (Dan Rogers/Robert Quick/Matt Lee/Coralina Rivera)</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Master LNG Backhaul Capacity Transportation Agreement (Dan Rogers/Nancy Corbet)</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Domestic [US] LNG Import Matters (Nancy Corbet)</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Nigeria LNG Master Spot LNG Sale &amp; Purchase Agreement (Dan Rogers/Robert Quick)</w:t>
      </w:r>
    </w:p>
    <w:p>
      <w:pPr>
        <w:pStyle w:val="Normal"/>
        <w:numPr>
          <w:ilvl w:val="0"/>
          <w:numId w:val="3"/>
        </w:numPr>
        <w:jc w:val="both"/>
        <w:rPr>
          <w:rFonts w:ascii="Times New Roman" w:hAnsi="Times New Roman" w:cs="Times New Roman"/>
          <w:sz w:val="24"/>
        </w:rPr>
      </w:pPr>
      <w:r>
        <w:rPr>
          <w:rFonts w:cs="Times New Roman" w:ascii="Times New Roman" w:hAnsi="Times New Roman"/>
          <w:sz w:val="24"/>
        </w:rPr>
        <w:t>Enron LNG E-Trading Platform (Dan Rogers)</w:t>
      </w:r>
    </w:p>
    <w:p>
      <w:pPr>
        <w:pStyle w:val="Normal"/>
        <w:ind w:hanging="360" w:end="0"/>
        <w:jc w:val="both"/>
        <w:rPr>
          <w:rFonts w:ascii="Times New Roman" w:hAnsi="Times New Roman" w:cs="Times New Roman"/>
          <w:sz w:val="24"/>
        </w:rPr>
      </w:pPr>
      <w:r>
        <w:rPr>
          <w:rFonts w:cs="Times New Roman" w:ascii="Times New Roman" w:hAnsi="Times New Roman"/>
          <w:sz w:val="24"/>
        </w:rPr>
        <w:t xml:space="preserve"> </w:t>
      </w:r>
    </w:p>
    <w:p>
      <w:pPr>
        <w:pStyle w:val="Heading2"/>
        <w:rPr>
          <w:sz w:val="24"/>
        </w:rPr>
      </w:pPr>
      <w:r>
        <w:rPr>
          <w:sz w:val="24"/>
        </w:rPr>
        <w:t>Middle East (Johan Gerrese)</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Project Dolphin [Qatar-UAE-Oman]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Saudi Arabia Gas Development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Oman Gas Distribution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Egypt-Jordan Gas Pipeline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Gaza [Palestine] 140 MW IPP Sell-Down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Tabreed District Cooling [UAE]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Sadaf 340 MW IPP [Saudi Arabia] </w:t>
      </w:r>
    </w:p>
    <w:p>
      <w:pPr>
        <w:pStyle w:val="Normal"/>
        <w:numPr>
          <w:ilvl w:val="0"/>
          <w:numId w:val="22"/>
        </w:numPr>
        <w:jc w:val="both"/>
        <w:rPr>
          <w:rFonts w:ascii="Times New Roman" w:hAnsi="Times New Roman" w:cs="Times New Roman"/>
          <w:sz w:val="24"/>
        </w:rPr>
      </w:pPr>
      <w:r>
        <w:rPr>
          <w:rFonts w:cs="Times New Roman" w:ascii="Times New Roman" w:hAnsi="Times New Roman"/>
          <w:sz w:val="24"/>
        </w:rPr>
        <w:t xml:space="preserve">Syria Power Trading </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clear" w:pos="720"/>
          <w:tab w:val="left" w:pos="0" w:leader="none"/>
          <w:tab w:val="left" w:pos="5106" w:leader="none"/>
          <w:tab w:val="left" w:pos="7254" w:leader="none"/>
        </w:tabs>
        <w:ind w:start="0" w:end="0"/>
        <w:rPr>
          <w:bCs/>
          <w:sz w:val="24"/>
        </w:rPr>
      </w:pPr>
      <w:r>
        <w:rPr>
          <w:bCs/>
          <w:sz w:val="24"/>
        </w:rPr>
        <w:t>Enron Global Assets</w:t>
      </w:r>
    </w:p>
    <w:p>
      <w:pPr>
        <w:pStyle w:val="Heading1"/>
        <w:rPr>
          <w:bCs/>
          <w:sz w:val="24"/>
        </w:rPr>
      </w:pPr>
      <w:r>
        <w:rPr>
          <w:bCs/>
          <w:sz w:val="24"/>
        </w:rPr>
      </w:r>
    </w:p>
    <w:p>
      <w:pPr>
        <w:pStyle w:val="Heading1"/>
        <w:numPr>
          <w:ilvl w:val="0"/>
          <w:numId w:val="34"/>
        </w:numPr>
        <w:rPr>
          <w:b w:val="false"/>
          <w:bCs/>
          <w:sz w:val="24"/>
          <w:u w:val="none"/>
        </w:rPr>
      </w:pPr>
      <w:r>
        <w:rPr>
          <w:b w:val="false"/>
          <w:sz w:val="24"/>
          <w:u w:val="none"/>
        </w:rPr>
        <w:t xml:space="preserve">Major EGA Initiatives </w:t>
      </w:r>
      <w:r>
        <w:rPr>
          <w:b w:val="false"/>
          <w:bCs/>
          <w:sz w:val="24"/>
          <w:u w:val="none"/>
        </w:rPr>
        <w:t>(Bruce Lundstrom and Bill Krenz)</w:t>
      </w:r>
    </w:p>
    <w:p>
      <w:pPr>
        <w:pStyle w:val="Heading1"/>
        <w:rPr>
          <w:b w:val="false"/>
          <w:bCs/>
          <w:sz w:val="24"/>
          <w:u w:val="none"/>
        </w:rPr>
      </w:pPr>
      <w:r>
        <w:rPr>
          <w:b w:val="false"/>
          <w:bCs/>
          <w:sz w:val="24"/>
          <w:u w:val="none"/>
        </w:rPr>
      </w:r>
    </w:p>
    <w:p>
      <w:pPr>
        <w:pStyle w:val="Heading1"/>
        <w:rPr>
          <w:b w:val="false"/>
          <w:bCs/>
          <w:sz w:val="24"/>
          <w:u w:val="none"/>
        </w:rPr>
      </w:pPr>
      <w:r>
        <w:rPr>
          <w:b w:val="false"/>
          <w:bCs/>
          <w:sz w:val="24"/>
          <w:u w:val="none"/>
        </w:rPr>
        <w:t>EGA Representatives of Enron Global Finance and others at Enron have begun consideration of a number of alternatives to monetize all or a portion of the EGA portfolio.  EGA Legal is regrouping our Summer/Lightning work and looking at database options for documents that have not been scanned on-line.  Bill Krenz, Tami Scrudder and Darlene McKeever are helping to coordinate this effort for EGA Legal.</w:t>
      </w:r>
    </w:p>
    <w:p>
      <w:pPr>
        <w:pStyle w:val="Normal"/>
        <w:rPr>
          <w:rFonts w:ascii="Times New Roman" w:hAnsi="Times New Roman" w:cs="Times New Roman"/>
          <w:b/>
          <w:bCs/>
          <w:sz w:val="24"/>
          <w:u w:val="none"/>
        </w:rPr>
      </w:pPr>
      <w:r>
        <w:rPr>
          <w:rFonts w:cs="Times New Roman" w:ascii="Times New Roman" w:hAnsi="Times New Roman"/>
          <w:b/>
          <w:bCs/>
          <w:sz w:val="24"/>
          <w:u w:val="none"/>
        </w:rPr>
      </w:r>
    </w:p>
    <w:p>
      <w:pPr>
        <w:pStyle w:val="BodyText"/>
        <w:ind w:hanging="720" w:start="720" w:end="0"/>
        <w:rPr>
          <w:rFonts w:ascii="Times New Roman" w:hAnsi="Times New Roman" w:cs="Times New Roman"/>
          <w:sz w:val="24"/>
        </w:rPr>
      </w:pPr>
      <w:r>
        <w:rPr>
          <w:rFonts w:cs="Times New Roman" w:ascii="Times New Roman" w:hAnsi="Times New Roman"/>
          <w:sz w:val="24"/>
        </w:rPr>
        <w:tab/>
        <w:t>One alternative would involve further borrowing against some or all of EGA’s 32 project assets, providing the proceeds of such loans to Enron, and then placing the new debt obligations together with the related EGA project assets into a new company and spinning the new company off.  A preliminary financial analysis is underway to determine whether the amount of debt that could be raised against EGA’s project assets is sufficient to make the transaction economically feasible.</w:t>
      </w:r>
    </w:p>
    <w:p>
      <w:pPr>
        <w:pStyle w:val="Normal"/>
        <w:rPr>
          <w:rFonts w:ascii="Times New Roman" w:hAnsi="Times New Roman" w:cs="Times New Roman"/>
          <w:sz w:val="24"/>
        </w:rPr>
      </w:pPr>
      <w:r>
        <w:rPr>
          <w:rFonts w:cs="Times New Roman" w:ascii="Times New Roman" w:hAnsi="Times New Roman"/>
          <w:sz w:val="24"/>
        </w:rPr>
      </w:r>
    </w:p>
    <w:p>
      <w:pPr>
        <w:pStyle w:val="BodyText"/>
        <w:numPr>
          <w:ilvl w:val="0"/>
          <w:numId w:val="34"/>
        </w:numPr>
        <w:tabs>
          <w:tab w:val="clear" w:pos="720"/>
          <w:tab w:val="left" w:pos="1440" w:leader="none"/>
          <w:tab w:val="left" w:pos="2160" w:leader="none"/>
          <w:tab w:val="left" w:pos="7740" w:leader="none"/>
          <w:tab w:val="left" w:pos="8370" w:leader="none"/>
        </w:tabs>
        <w:rPr>
          <w:rFonts w:ascii="Times New Roman" w:hAnsi="Times New Roman" w:cs="Times New Roman"/>
          <w:sz w:val="24"/>
        </w:rPr>
      </w:pPr>
      <w:r>
        <w:rPr>
          <w:rFonts w:cs="Times New Roman" w:ascii="Times New Roman" w:hAnsi="Times New Roman"/>
          <w:bCs/>
          <w:sz w:val="24"/>
        </w:rPr>
        <w:t xml:space="preserve">Hainan </w:t>
      </w:r>
      <w:r>
        <w:rPr>
          <w:rFonts w:cs="Times New Roman" w:ascii="Times New Roman" w:hAnsi="Times New Roman"/>
          <w:sz w:val="24"/>
        </w:rPr>
        <w:t>(Bill Krenz)</w:t>
      </w:r>
    </w:p>
    <w:p>
      <w:pPr>
        <w:pStyle w:val="BodyText"/>
        <w:tabs>
          <w:tab w:val="left" w:pos="720" w:leader="none"/>
          <w:tab w:val="left" w:pos="1440" w:leader="none"/>
          <w:tab w:val="left" w:pos="2160" w:leader="none"/>
          <w:tab w:val="left" w:pos="7740" w:leader="none"/>
          <w:tab w:val="left" w:pos="8370" w:leader="none"/>
        </w:tabs>
        <w:ind w:start="720" w:end="0"/>
        <w:rPr>
          <w:rFonts w:ascii="Times New Roman" w:hAnsi="Times New Roman" w:cs="Times New Roman"/>
          <w:sz w:val="24"/>
        </w:rPr>
      </w:pPr>
      <w:r>
        <w:rPr>
          <w:rFonts w:cs="Times New Roman" w:ascii="Times New Roman" w:hAnsi="Times New Roman"/>
          <w:sz w:val="24"/>
        </w:rPr>
        <w:t>Hainan Island Power Plant Settlement</w:t>
      </w:r>
    </w:p>
    <w:p>
      <w:pPr>
        <w:pStyle w:val="BodyText"/>
        <w:tabs>
          <w:tab w:val="clear" w:pos="720"/>
          <w:tab w:val="left" w:pos="7740" w:leader="none"/>
          <w:tab w:val="left" w:pos="8370" w:leader="none"/>
        </w:tabs>
        <w:rPr>
          <w:rFonts w:ascii="Times New Roman" w:hAnsi="Times New Roman" w:cs="Times New Roman"/>
          <w:b/>
          <w:sz w:val="24"/>
        </w:rPr>
      </w:pPr>
      <w:r>
        <w:rPr>
          <w:rFonts w:cs="Times New Roman" w:ascii="Times New Roman" w:hAnsi="Times New Roman"/>
          <w:b/>
          <w:sz w:val="24"/>
        </w:rPr>
      </w:r>
    </w:p>
    <w:p>
      <w:pPr>
        <w:pStyle w:val="BodyText"/>
        <w:ind w:start="720" w:end="0"/>
        <w:rPr>
          <w:rFonts w:ascii="Times New Roman" w:hAnsi="Times New Roman" w:cs="Times New Roman"/>
          <w:sz w:val="24"/>
        </w:rPr>
      </w:pPr>
      <w:r>
        <w:rPr>
          <w:rFonts w:cs="Times New Roman" w:ascii="Times New Roman" w:hAnsi="Times New Roman"/>
          <w:sz w:val="24"/>
        </w:rPr>
        <w:t>We are commencing preparations for the transfer of the Hainan Qinglan Plant to Hainan Province Electric Power Co., Ltd. scheduled to take place at the end of March, pursuant to the PPC Termination Agreement.  Once the transaction is completed, Enron will have approximately US$152 million in China to be repatriated to the United States, which is expected to be a legal and political challenge.  Research is continuing regarding the repatriation process.</w:t>
      </w:r>
    </w:p>
    <w:p>
      <w:pPr>
        <w:pStyle w:val="BodyText"/>
        <w:tabs>
          <w:tab w:val="left" w:pos="720" w:leader="none"/>
        </w:tabs>
        <w:rPr>
          <w:rFonts w:ascii="Times New Roman" w:hAnsi="Times New Roman" w:cs="Times New Roman"/>
          <w:sz w:val="24"/>
        </w:rPr>
      </w:pPr>
      <w:r>
        <w:rPr>
          <w:rFonts w:cs="Times New Roman" w:ascii="Times New Roman" w:hAnsi="Times New Roman"/>
          <w:sz w:val="24"/>
        </w:rPr>
      </w:r>
    </w:p>
    <w:p>
      <w:pPr>
        <w:pStyle w:val="Heading1"/>
        <w:tabs>
          <w:tab w:val="left" w:pos="0" w:leader="none"/>
          <w:tab w:val="left" w:pos="720" w:leader="none"/>
          <w:tab w:val="left" w:pos="1440" w:leader="none"/>
          <w:tab w:val="left" w:pos="2160" w:leader="none"/>
          <w:tab w:val="left" w:pos="5106" w:leader="none"/>
          <w:tab w:val="left" w:pos="7254" w:leader="none"/>
        </w:tabs>
        <w:ind w:start="0" w:end="0"/>
        <w:rPr>
          <w:sz w:val="24"/>
          <w:u w:val="none"/>
        </w:rPr>
      </w:pPr>
      <w:r>
        <w:rPr>
          <w:b w:val="false"/>
          <w:bCs/>
          <w:sz w:val="24"/>
          <w:u w:val="none"/>
        </w:rPr>
        <w:t>III.</w:t>
      </w:r>
      <w:r>
        <w:rPr>
          <w:sz w:val="24"/>
          <w:u w:val="none"/>
        </w:rPr>
        <w:tab/>
      </w:r>
      <w:r>
        <w:rPr>
          <w:b w:val="false"/>
          <w:sz w:val="24"/>
          <w:u w:val="none"/>
        </w:rPr>
        <w:t xml:space="preserve">Enron Nigeria Power Holding Limited  </w:t>
      </w:r>
      <w:r>
        <w:rPr>
          <w:b w:val="false"/>
          <w:bCs/>
          <w:sz w:val="24"/>
          <w:u w:val="none"/>
        </w:rPr>
        <w:t>(Yao Apasu)</w:t>
      </w:r>
    </w:p>
    <w:p>
      <w:pPr>
        <w:pStyle w:val="Normal"/>
        <w:ind w:firstLine="720" w:end="0"/>
        <w:rPr>
          <w:rFonts w:ascii="Times New Roman" w:hAnsi="Times New Roman" w:cs="Times New Roman"/>
          <w:sz w:val="24"/>
        </w:rPr>
      </w:pPr>
      <w:r>
        <w:rPr>
          <w:rFonts w:cs="Times New Roman" w:ascii="Times New Roman" w:hAnsi="Times New Roman"/>
          <w:sz w:val="24"/>
        </w:rPr>
        <w:t>548 MW gas-fired plant in Lagos, Nigeria</w:t>
      </w:r>
    </w:p>
    <w:p>
      <w:pPr>
        <w:pStyle w:val="Normal"/>
        <w:ind w:firstLine="720" w:end="0"/>
        <w:rPr>
          <w:rFonts w:ascii="Times New Roman" w:hAnsi="Times New Roman" w:cs="Times New Roman"/>
          <w:sz w:val="24"/>
        </w:rPr>
      </w:pPr>
      <w:r>
        <w:rPr>
          <w:rFonts w:cs="Times New Roman" w:ascii="Times New Roman" w:hAnsi="Times New Roman"/>
          <w:sz w:val="24"/>
        </w:rPr>
        <w:t>280 km Pipeline from the Niger Delta to Lagos</w:t>
      </w:r>
    </w:p>
    <w:p>
      <w:pPr>
        <w:pStyle w:val="Normal"/>
        <w:rPr>
          <w:rFonts w:ascii="Times New Roman" w:hAnsi="Times New Roman" w:cs="Times New Roman"/>
          <w:sz w:val="24"/>
        </w:rPr>
      </w:pPr>
      <w:r>
        <w:rPr>
          <w:rFonts w:cs="Times New Roman" w:ascii="Times New Roman" w:hAnsi="Times New Roman"/>
          <w:sz w:val="24"/>
        </w:rPr>
      </w:r>
    </w:p>
    <w:p>
      <w:pPr>
        <w:pStyle w:val="Normal"/>
        <w:ind w:hanging="720" w:start="720" w:end="0"/>
        <w:rPr>
          <w:rFonts w:ascii="Times New Roman" w:hAnsi="Times New Roman" w:cs="Times New Roman"/>
          <w:sz w:val="24"/>
        </w:rPr>
      </w:pPr>
      <w:r>
        <w:rPr>
          <w:rFonts w:cs="Times New Roman" w:ascii="Times New Roman" w:hAnsi="Times New Roman"/>
          <w:sz w:val="24"/>
        </w:rPr>
        <w:tab/>
        <w:t>Negotiations are continuing with the officials of the Lagos State Government, the Nigerian Federal Government and the National Electric Power Authority to amend and restate the PPA executed among such parties and Enron Power Holding on December 6, 1999.  The execution of the amendment will trigger the sale of all the issued and outstanding shares of (x) Enron IPP Holding and Enron Pipeline Holding or (y) Enron Power Holding (the parent of IPP Holding and Pipeline Holding) to AES Nigeria Holdings Ltd. pursuant to a Purchase and Sale Agreement dated September 30, 2000 among certain Enron entities and AES Nigeria.  AES Nigeria’s obligations are guaranteed by AES Corporation.</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bCs/>
          <w:sz w:val="24"/>
        </w:rPr>
        <w:t>IV.</w:t>
        <w:tab/>
        <w:t>Dominican Republic</w:t>
      </w:r>
      <w:r>
        <w:rPr>
          <w:rFonts w:cs="Times New Roman" w:ascii="Times New Roman" w:hAnsi="Times New Roman"/>
          <w:b/>
          <w:sz w:val="24"/>
        </w:rPr>
        <w:t xml:space="preserve"> </w:t>
      </w:r>
      <w:r>
        <w:rPr>
          <w:rFonts w:cs="Times New Roman" w:ascii="Times New Roman" w:hAnsi="Times New Roman"/>
          <w:sz w:val="24"/>
        </w:rPr>
        <w:t>(Yao Apasu)</w:t>
      </w:r>
    </w:p>
    <w:p>
      <w:pPr>
        <w:pStyle w:val="Normal"/>
        <w:ind w:firstLine="720" w:end="0"/>
        <w:rPr>
          <w:rFonts w:ascii="Times New Roman" w:hAnsi="Times New Roman" w:cs="Times New Roman"/>
          <w:sz w:val="24"/>
        </w:rPr>
      </w:pPr>
      <w:r>
        <w:rPr>
          <w:rFonts w:cs="Times New Roman" w:ascii="Times New Roman" w:hAnsi="Times New Roman"/>
          <w:sz w:val="24"/>
        </w:rPr>
        <w:t>Smith Enron Cogeneration Limited Partnership (SECLP)</w:t>
      </w:r>
    </w:p>
    <w:p>
      <w:pPr>
        <w:pStyle w:val="Normal"/>
        <w:rPr>
          <w:rFonts w:ascii="Times New Roman" w:hAnsi="Times New Roman" w:cs="Times New Roman"/>
          <w:sz w:val="24"/>
        </w:rPr>
      </w:pPr>
      <w:r>
        <w:rPr>
          <w:rFonts w:cs="Times New Roman" w:ascii="Times New Roman" w:hAnsi="Times New Roman"/>
          <w:sz w:val="24"/>
        </w:rPr>
      </w:r>
    </w:p>
    <w:p>
      <w:pPr>
        <w:pStyle w:val="BodyText"/>
        <w:numPr>
          <w:ilvl w:val="0"/>
          <w:numId w:val="16"/>
        </w:numPr>
        <w:tabs>
          <w:tab w:val="left" w:pos="720" w:leader="none"/>
          <w:tab w:val="left" w:pos="1440" w:leader="none"/>
          <w:tab w:val="left" w:pos="2160" w:leader="none"/>
        </w:tabs>
        <w:rPr>
          <w:rFonts w:ascii="Times New Roman" w:hAnsi="Times New Roman" w:cs="Times New Roman"/>
          <w:sz w:val="24"/>
        </w:rPr>
      </w:pPr>
      <w:r>
        <w:rPr>
          <w:rFonts w:cs="Times New Roman" w:ascii="Times New Roman" w:hAnsi="Times New Roman"/>
          <w:sz w:val="24"/>
          <w:u w:val="single"/>
        </w:rPr>
        <w:t>Transfer of PPA</w:t>
      </w:r>
      <w:r>
        <w:rPr>
          <w:rFonts w:cs="Times New Roman" w:ascii="Times New Roman" w:hAnsi="Times New Roman"/>
          <w:sz w:val="24"/>
        </w:rPr>
        <w:t>.  Negotiations are continuing on a Confidentiality Agreement with Union Fenosa for the possible (x) transfer of the PPA dated September 29, 1999 among SECLP, Corporacion Dominicana de Electricidad and the Dominican State, and (y) the sale of the partnership interests in SECLP owned by Enron.</w:t>
      </w:r>
    </w:p>
    <w:p>
      <w:pPr>
        <w:pStyle w:val="BodyText"/>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 w:val="left" w:pos="2160" w:leader="none"/>
          <w:tab w:val="left" w:pos="5106" w:leader="none"/>
          <w:tab w:val="left" w:pos="7254" w:leader="none"/>
        </w:tabs>
        <w:ind w:hanging="1440" w:start="1440" w:end="0"/>
        <w:rPr>
          <w:sz w:val="24"/>
        </w:rPr>
      </w:pPr>
      <w:r>
        <w:rPr>
          <w:sz w:val="24"/>
        </w:rPr>
        <w:tab/>
        <w:tab/>
        <w:t>We are also continuing the review and analysis of the PPA, and the Definitive Agreement dated April 14, 1999 among SECLP, various IPPs , and certain Dominican governmental entities to provide the legal basis for facilitating the transfer of the government’s obligations under the PPA to Union Fenosa.</w:t>
      </w:r>
    </w:p>
    <w:p>
      <w:pPr>
        <w:pStyle w:val="BodyTextIndent2"/>
        <w:ind w:hanging="0" w:end="0"/>
        <w:rPr>
          <w:sz w:val="24"/>
        </w:rPr>
      </w:pPr>
      <w:r>
        <w:rPr>
          <w:sz w:val="24"/>
        </w:rPr>
      </w:r>
    </w:p>
    <w:p>
      <w:pPr>
        <w:pStyle w:val="BodyTextIndent2"/>
        <w:numPr>
          <w:ilvl w:val="0"/>
          <w:numId w:val="16"/>
        </w:numPr>
        <w:tabs>
          <w:tab w:val="left" w:pos="720" w:leader="none"/>
          <w:tab w:val="left" w:pos="1440" w:leader="none"/>
          <w:tab w:val="left" w:pos="2160" w:leader="none"/>
          <w:tab w:val="left" w:pos="5106" w:leader="none"/>
          <w:tab w:val="left" w:pos="7254" w:leader="none"/>
        </w:tabs>
        <w:rPr>
          <w:sz w:val="24"/>
        </w:rPr>
      </w:pPr>
      <w:r>
        <w:rPr>
          <w:sz w:val="24"/>
          <w:u w:val="single"/>
        </w:rPr>
        <w:t>Delinquent Accounts Receivable</w:t>
      </w:r>
      <w:r>
        <w:rPr>
          <w:sz w:val="24"/>
        </w:rPr>
        <w:t>.  Negotiations are currently going on with the government of the Dominican Republic to replenish the government guaranty letter of credit (“LOC”) and to collect the past due receivables.  SECLP was unable to collect past due receivables (in an aggregate amount of $24 MM) and the principal and interest payment of $12.4 MM payable to the lenders (IFC, MARAD, DEG, CDC and commercial banks) on December 15, 2000.  Consequently, on January 16, 2001 SECLP had to make-up the payment shortfall by drawing down $9.8 MM (of the $16 MM) of the LOC.  Until the LOC is replenished, SECLP is prohibited from making dividend distributions.</w:t>
      </w:r>
    </w:p>
    <w:p>
      <w:pPr>
        <w:pStyle w:val="BodyTextIndent"/>
        <w:ind w:start="1440" w:end="0"/>
        <w:rPr>
          <w:sz w:val="24"/>
        </w:rPr>
      </w:pPr>
      <w:r>
        <w:rPr>
          <w:sz w:val="24"/>
        </w:rPr>
      </w:r>
    </w:p>
    <w:p>
      <w:pPr>
        <w:pStyle w:val="BodyTextIndent3"/>
        <w:numPr>
          <w:ilvl w:val="0"/>
          <w:numId w:val="16"/>
        </w:numPr>
        <w:rPr>
          <w:sz w:val="24"/>
        </w:rPr>
      </w:pPr>
      <w:r>
        <w:rPr>
          <w:sz w:val="24"/>
          <w:u w:val="single"/>
        </w:rPr>
        <w:t>Boilers</w:t>
      </w:r>
      <w:r>
        <w:rPr>
          <w:sz w:val="24"/>
        </w:rPr>
        <w:t>.  One of SECLP’s most critical problems is lack of reliability.  The existing boilers were not properly designed to operate on #6 fuel oil.  SECLP executed and issued notice to proceed under a settlement agreement with Foster Wheeler and Raytheon (“FW&amp;R”), the original EPC contractors, for the erection of a new 80MW boiler.  The total cost of the boiler is estimated at $21MM.  SECLP is required to fund $5MM while FW&amp;R must fund the remaining $16MM.</w:t>
      </w:r>
    </w:p>
    <w:p>
      <w:pPr>
        <w:pStyle w:val="Normal"/>
        <w:rPr>
          <w:rFonts w:ascii="Times New Roman" w:hAnsi="Times New Roman" w:cs="Times New Roman"/>
          <w:sz w:val="24"/>
        </w:rPr>
      </w:pPr>
      <w:r>
        <w:rPr>
          <w:rFonts w:cs="Times New Roman" w:ascii="Times New Roman" w:hAnsi="Times New Roman"/>
          <w:sz w:val="24"/>
        </w:rPr>
      </w:r>
    </w:p>
    <w:p>
      <w:pPr>
        <w:pStyle w:val="BodyTextIndent2"/>
        <w:numPr>
          <w:ilvl w:val="0"/>
          <w:numId w:val="16"/>
        </w:numPr>
        <w:rPr>
          <w:sz w:val="24"/>
        </w:rPr>
      </w:pPr>
      <w:r>
        <w:rPr>
          <w:sz w:val="24"/>
          <w:u w:val="single"/>
        </w:rPr>
        <w:t>Steam Turbines</w:t>
      </w:r>
      <w:r>
        <w:rPr>
          <w:sz w:val="24"/>
        </w:rPr>
        <w:t>.  On October 23, 2000, the steam turbine was taken out of service due to high vibration levels.  This outage has reduced plant capacity from 160MW to 65MW.  Because SECLP’s capacity payment is fully variable (i.e., capacity revenue is calculated based on availability (whether or not dispatched)), this outage has reduced total revenues by approximately $8.5MM.</w:t>
      </w:r>
    </w:p>
    <w:p>
      <w:pPr>
        <w:pStyle w:val="BodyTextIndent"/>
        <w:ind w:start="0" w:end="0"/>
        <w:rPr>
          <w:sz w:val="24"/>
        </w:rPr>
      </w:pPr>
      <w:r>
        <w:rPr>
          <w:sz w:val="24"/>
        </w:rPr>
      </w:r>
    </w:p>
    <w:p>
      <w:pPr>
        <w:pStyle w:val="BodyTextIndent"/>
        <w:tabs>
          <w:tab w:val="clear" w:pos="1080"/>
          <w:tab w:val="left" w:pos="720" w:leader="none"/>
          <w:tab w:val="left" w:pos="1440" w:leader="none"/>
          <w:tab w:val="left" w:pos="2160" w:leader="none"/>
        </w:tabs>
        <w:ind w:hanging="1440" w:start="1440" w:end="0"/>
        <w:rPr>
          <w:sz w:val="24"/>
        </w:rPr>
      </w:pPr>
      <w:r>
        <w:rPr>
          <w:sz w:val="24"/>
        </w:rPr>
        <w:tab/>
        <w:tab/>
        <w:t>Negotiations are continuing with the insurance company to recover the lost revenues covered by business interruption insurance, which after the 45-day deductible is estimated to be $4.5MM.  The insurance company has alleged that SECLP could have implemented interim solutions that would have prevented the expiration of the 45 day deductible period.  Management believes this allegation has no merit.</w:t>
      </w:r>
    </w:p>
    <w:p>
      <w:pPr>
        <w:pStyle w:val="BodyTextIndent"/>
        <w:ind w:start="1440" w:end="0"/>
        <w:rPr>
          <w:sz w:val="24"/>
        </w:rPr>
      </w:pPr>
      <w:r>
        <w:rPr>
          <w:sz w:val="24"/>
        </w:rPr>
      </w:r>
    </w:p>
    <w:p>
      <w:pPr>
        <w:pStyle w:val="BodyText"/>
        <w:numPr>
          <w:ilvl w:val="0"/>
          <w:numId w:val="16"/>
        </w:numPr>
        <w:tabs>
          <w:tab w:val="clear" w:pos="720"/>
          <w:tab w:val="left" w:pos="7740" w:leader="none"/>
          <w:tab w:val="left" w:pos="8370" w:leader="none"/>
        </w:tabs>
        <w:rPr>
          <w:rFonts w:ascii="Times New Roman" w:hAnsi="Times New Roman" w:cs="Times New Roman"/>
          <w:sz w:val="24"/>
        </w:rPr>
      </w:pPr>
      <w:r>
        <w:rPr>
          <w:rFonts w:cs="Times New Roman" w:ascii="Times New Roman" w:hAnsi="Times New Roman"/>
          <w:sz w:val="24"/>
          <w:u w:val="single"/>
        </w:rPr>
        <w:t>Litigation/Arbitration</w:t>
      </w:r>
      <w:r>
        <w:rPr>
          <w:rFonts w:cs="Times New Roman" w:ascii="Times New Roman" w:hAnsi="Times New Roman"/>
          <w:sz w:val="24"/>
        </w:rPr>
        <w:t xml:space="preserve">.  Several litigation/arbitration proceedings involving SECLP are pending.  Please see </w:t>
      </w:r>
      <w:r>
        <w:rPr>
          <w:rFonts w:cs="Times New Roman" w:ascii="Times New Roman" w:hAnsi="Times New Roman"/>
          <w:sz w:val="24"/>
          <w:u w:val="single"/>
        </w:rPr>
        <w:t>Memorandum re:  W/S Enron Global Assets Litigation Update</w:t>
      </w:r>
      <w:r>
        <w:rPr>
          <w:rFonts w:cs="Times New Roman" w:ascii="Times New Roman" w:hAnsi="Times New Roman"/>
          <w:sz w:val="24"/>
        </w:rPr>
        <w:t xml:space="preserve"> by Michelle Blaine and Gail Brownfeld.</w:t>
      </w:r>
    </w:p>
    <w:p>
      <w:pPr>
        <w:pStyle w:val="BodyText"/>
        <w:tabs>
          <w:tab w:val="clear" w:pos="720"/>
          <w:tab w:val="left" w:pos="1080" w:leader="none"/>
          <w:tab w:val="left" w:pos="7740" w:leader="none"/>
          <w:tab w:val="left" w:pos="8370" w:leader="none"/>
        </w:tabs>
        <w:rPr>
          <w:rFonts w:ascii="Times New Roman" w:hAnsi="Times New Roman" w:cs="Times New Roman"/>
          <w:sz w:val="24"/>
        </w:rPr>
      </w:pPr>
      <w:r>
        <w:rPr>
          <w:rFonts w:cs="Times New Roman" w:ascii="Times New Roman" w:hAnsi="Times New Roman"/>
          <w:sz w:val="24"/>
        </w:rPr>
      </w:r>
    </w:p>
    <w:p>
      <w:pPr>
        <w:pStyle w:val="BodyText"/>
        <w:numPr>
          <w:ilvl w:val="0"/>
          <w:numId w:val="21"/>
        </w:numPr>
        <w:tabs>
          <w:tab w:val="clear" w:pos="720"/>
          <w:tab w:val="left" w:pos="1440" w:leader="none"/>
          <w:tab w:val="left" w:pos="2160" w:leader="none"/>
          <w:tab w:val="left" w:pos="7740" w:leader="none"/>
          <w:tab w:val="left" w:pos="8370" w:leader="none"/>
        </w:tabs>
        <w:rPr>
          <w:rFonts w:ascii="Times New Roman" w:hAnsi="Times New Roman" w:cs="Times New Roman"/>
          <w:sz w:val="24"/>
        </w:rPr>
      </w:pPr>
      <w:r>
        <w:rPr>
          <w:rFonts w:cs="Times New Roman" w:ascii="Times New Roman" w:hAnsi="Times New Roman"/>
          <w:bCs/>
          <w:sz w:val="24"/>
        </w:rPr>
        <w:t>Jamaica</w:t>
      </w:r>
      <w:r>
        <w:rPr>
          <w:rFonts w:cs="Times New Roman" w:ascii="Times New Roman" w:hAnsi="Times New Roman"/>
          <w:sz w:val="24"/>
        </w:rPr>
        <w:t xml:space="preserve"> (Yao Apasu)</w:t>
      </w:r>
    </w:p>
    <w:p>
      <w:pPr>
        <w:pStyle w:val="BodyText"/>
        <w:tabs>
          <w:tab w:val="left" w:pos="720" w:leader="none"/>
          <w:tab w:val="left" w:pos="1440" w:leader="none"/>
          <w:tab w:val="left" w:pos="2160" w:leader="none"/>
          <w:tab w:val="left" w:pos="7740" w:leader="none"/>
          <w:tab w:val="left" w:pos="8370" w:leader="none"/>
        </w:tabs>
        <w:ind w:start="720" w:end="0"/>
        <w:rPr>
          <w:rFonts w:ascii="Times New Roman" w:hAnsi="Times New Roman" w:cs="Times New Roman"/>
          <w:sz w:val="24"/>
        </w:rPr>
      </w:pPr>
      <w:r>
        <w:rPr>
          <w:rFonts w:cs="Times New Roman" w:ascii="Times New Roman" w:hAnsi="Times New Roman"/>
          <w:sz w:val="24"/>
        </w:rPr>
        <w:t>ILG</w:t>
      </w:r>
    </w:p>
    <w:p>
      <w:pPr>
        <w:pStyle w:val="BodyText"/>
        <w:tabs>
          <w:tab w:val="left" w:pos="720" w:leader="none"/>
          <w:tab w:val="left" w:pos="1440" w:leader="none"/>
          <w:tab w:val="left" w:pos="2160" w:leader="none"/>
          <w:tab w:val="left" w:pos="7740" w:leader="none"/>
          <w:tab w:val="left" w:pos="8370" w:leader="none"/>
        </w:tabs>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7740" w:leader="none"/>
          <w:tab w:val="left" w:pos="8370" w:leader="none"/>
        </w:tabs>
        <w:ind w:hanging="720" w:start="720" w:end="0"/>
        <w:rPr/>
      </w:pPr>
      <w:r>
        <w:rPr>
          <w:rFonts w:cs="Times New Roman" w:ascii="Times New Roman" w:hAnsi="Times New Roman"/>
          <w:sz w:val="24"/>
        </w:rPr>
        <w:tab/>
        <w:t>ILG has filed an action seeking an interlocutory injunction against Petcom (a government LPG plant) and its managers to stop the illegal filling of customers cylinders with LPG.  The first hearing was scheduled for January 15</w:t>
      </w:r>
      <w:r>
        <w:rPr>
          <w:rFonts w:cs="Times New Roman" w:ascii="Times New Roman" w:hAnsi="Times New Roman"/>
          <w:sz w:val="24"/>
          <w:vertAlign w:val="superscript"/>
        </w:rPr>
        <w:t>th</w:t>
      </w:r>
      <w:r>
        <w:rPr>
          <w:rFonts w:cs="Times New Roman" w:ascii="Times New Roman" w:hAnsi="Times New Roman"/>
          <w:sz w:val="24"/>
        </w:rPr>
        <w:t xml:space="preserve"> but was adjourned to February 27, 2000.</w:t>
      </w:r>
    </w:p>
    <w:p>
      <w:pPr>
        <w:pStyle w:val="BodyText"/>
        <w:tabs>
          <w:tab w:val="left" w:pos="720" w:leader="none"/>
          <w:tab w:val="left" w:pos="1440" w:leader="none"/>
          <w:tab w:val="left" w:pos="2160" w:leader="none"/>
          <w:tab w:val="left" w:pos="7740" w:leader="none"/>
          <w:tab w:val="left" w:pos="8370" w:leader="none"/>
        </w:tabs>
        <w:rPr>
          <w:rFonts w:ascii="Times New Roman" w:hAnsi="Times New Roman" w:cs="Times New Roman"/>
          <w:sz w:val="24"/>
        </w:rPr>
      </w:pPr>
      <w:r>
        <w:rPr>
          <w:rFonts w:cs="Times New Roman" w:ascii="Times New Roman" w:hAnsi="Times New Roman"/>
          <w:sz w:val="24"/>
        </w:rPr>
      </w:r>
    </w:p>
    <w:p>
      <w:pPr>
        <w:pStyle w:val="BodyText"/>
        <w:numPr>
          <w:ilvl w:val="0"/>
          <w:numId w:val="21"/>
        </w:numPr>
        <w:rPr>
          <w:rFonts w:ascii="Times New Roman" w:hAnsi="Times New Roman" w:cs="Times New Roman"/>
          <w:sz w:val="24"/>
        </w:rPr>
      </w:pPr>
      <w:r>
        <w:rPr>
          <w:rFonts w:cs="Times New Roman" w:ascii="Times New Roman" w:hAnsi="Times New Roman"/>
          <w:bCs/>
          <w:sz w:val="24"/>
        </w:rPr>
        <w:t>India</w:t>
      </w:r>
      <w:r>
        <w:rPr>
          <w:rFonts w:cs="Times New Roman" w:ascii="Times New Roman" w:hAnsi="Times New Roman"/>
          <w:sz w:val="24"/>
        </w:rPr>
        <w:t xml:space="preserve"> (Robert Mathis and Paul Kraske)</w:t>
      </w:r>
    </w:p>
    <w:p>
      <w:pPr>
        <w:pStyle w:val="BodyText"/>
        <w:ind w:start="720" w:end="0"/>
        <w:rPr>
          <w:rFonts w:ascii="Times New Roman" w:hAnsi="Times New Roman" w:cs="Times New Roman"/>
          <w:sz w:val="24"/>
        </w:rPr>
      </w:pPr>
      <w:r>
        <w:rPr>
          <w:rFonts w:cs="Times New Roman" w:ascii="Times New Roman" w:hAnsi="Times New Roman"/>
          <w:sz w:val="24"/>
        </w:rPr>
        <w:t>Dabhol Power Company</w:t>
      </w:r>
    </w:p>
    <w:p>
      <w:pPr>
        <w:pStyle w:val="BodyText"/>
        <w:tabs>
          <w:tab w:val="left" w:pos="720" w:leader="none"/>
        </w:tabs>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5106" w:leader="none"/>
          <w:tab w:val="left" w:pos="7254" w:leader="none"/>
        </w:tabs>
        <w:ind w:start="0" w:end="0"/>
        <w:rPr/>
      </w:pPr>
      <w:r>
        <w:rPr>
          <w:sz w:val="24"/>
          <w:u w:val="none"/>
        </w:rPr>
        <w:tab/>
      </w:r>
      <w:r>
        <w:rPr>
          <w:b w:val="false"/>
          <w:bCs/>
          <w:sz w:val="24"/>
          <w:u w:val="none"/>
        </w:rPr>
        <w:t>A.</w:t>
        <w:tab/>
        <w:t>MSEB Payment Status</w:t>
      </w:r>
    </w:p>
    <w:p>
      <w:pPr>
        <w:pStyle w:val="Normal"/>
        <w:rPr>
          <w:b/>
          <w:bCs/>
          <w:sz w:val="24"/>
          <w:u w:val="none"/>
        </w:rPr>
      </w:pPr>
      <w:r>
        <w:rPr>
          <w:b/>
          <w:bCs/>
          <w:sz w:val="24"/>
          <w:u w:val="none"/>
        </w:rPr>
      </w:r>
    </w:p>
    <w:p>
      <w:pPr>
        <w:pStyle w:val="Normal"/>
        <w:ind w:start="1440" w:end="0"/>
        <w:jc w:val="both"/>
        <w:rPr>
          <w:rFonts w:ascii="Times New Roman" w:hAnsi="Times New Roman" w:cs="Times New Roman"/>
          <w:sz w:val="24"/>
        </w:rPr>
      </w:pPr>
      <w:r>
        <w:rPr>
          <w:rFonts w:cs="Times New Roman" w:ascii="Times New Roman" w:hAnsi="Times New Roman"/>
          <w:sz w:val="24"/>
        </w:rPr>
        <w:t xml:space="preserve">On Monday, February 12, 2001, MSEB paid Rs 74 Crores owed for the balance amount of the November monthly payment, which satisfies in full that payment and relieves the government of India (GOI) from paying that amount via the demand made under the GOI Guarantee. Also, the demand for payment under the government of Maharashtra (GOM) Guarantee is withdrawn as to the November payment, but not as to the December payment. The GOM Guarantee was invoked on February 6, 2001 for the December payment, which gave the GOM 7 days to pay. GOM did not pay the December payment on or before February 12, 2001, which date was the end of the prescribed 7-day period. DPC has not pursued a demand for payment of the December payment under the GOI Guarantee. Since the November payment has been paid, the date for the December payment is extended 30 days (pursuant to a waiver consent granted by the Secured Creditors to DPC), which extension is available when there is only one monthly payment outstanding past its due date. Therefore, MSEB has 30 days from the due date of January 25, 2001, until February 25, 2001 to pay the December monthly payment. Thereafter, if payment is not received, DPC has the option of making a demand under the GOI Guarantee for the December amount, because the 7-day period has expired under the GOM Guarantee.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5106" w:leader="none"/>
          <w:tab w:val="left" w:pos="7254" w:leader="none"/>
        </w:tabs>
        <w:ind w:start="0" w:end="0"/>
        <w:rPr/>
      </w:pPr>
      <w:r>
        <w:rPr>
          <w:sz w:val="24"/>
          <w:u w:val="none"/>
        </w:rPr>
        <w:tab/>
      </w:r>
      <w:r>
        <w:rPr>
          <w:b w:val="false"/>
          <w:bCs/>
          <w:sz w:val="24"/>
          <w:u w:val="none"/>
        </w:rPr>
        <w:t>B.</w:t>
        <w:tab/>
        <w:t>Finance Status</w:t>
      </w:r>
    </w:p>
    <w:p>
      <w:pPr>
        <w:pStyle w:val="Normal"/>
        <w:ind w:start="720" w:end="0"/>
        <w:jc w:val="both"/>
        <w:rPr>
          <w:rFonts w:ascii="Times New Roman" w:hAnsi="Times New Roman" w:cs="Times New Roman"/>
          <w:b/>
          <w:bCs/>
          <w:sz w:val="24"/>
          <w:u w:val="none"/>
        </w:rPr>
      </w:pPr>
      <w:r>
        <w:rPr>
          <w:rFonts w:cs="Times New Roman" w:ascii="Times New Roman" w:hAnsi="Times New Roman"/>
          <w:b/>
          <w:bCs/>
          <w:sz w:val="24"/>
          <w:u w:val="none"/>
        </w:rPr>
      </w:r>
    </w:p>
    <w:p>
      <w:pPr>
        <w:pStyle w:val="BodyText"/>
        <w:tabs>
          <w:tab w:val="left" w:pos="720" w:leader="none"/>
        </w:tabs>
        <w:ind w:start="1440" w:end="0"/>
        <w:rPr>
          <w:rFonts w:ascii="Times New Roman" w:hAnsi="Times New Roman" w:cs="Times New Roman"/>
          <w:sz w:val="24"/>
        </w:rPr>
      </w:pPr>
      <w:r>
        <w:rPr>
          <w:rFonts w:cs="Times New Roman" w:ascii="Times New Roman" w:hAnsi="Times New Roman"/>
          <w:sz w:val="24"/>
        </w:rPr>
        <w:t>The February loan disbursement has been made to DPC from JBIC and the Rupee lenders, and the funds have been used to pay the February invoice of DPC’s EPC contractor. IFCI, a rupee loan lender, does not want to fund the balance of its loan commitment due to its own financial constraints, and not because of DPC. ICICI has agreed to fund IFCI’s February loan commitment, even though the amended loan documents have not yet been finalized between the parties and agreed with the Secured Creditors. The consent will be circulated soon to the Secured Creditors for their consent to the amendment of the finance documents.</w:t>
      </w:r>
    </w:p>
    <w:p>
      <w:pPr>
        <w:pStyle w:val="BodyText"/>
        <w:tabs>
          <w:tab w:val="left" w:pos="720" w:leader="none"/>
        </w:tabs>
        <w:ind w:start="1440" w:end="0"/>
        <w:rPr>
          <w:rFonts w:ascii="Times New Roman" w:hAnsi="Times New Roman" w:cs="Times New Roman"/>
          <w:sz w:val="24"/>
        </w:rPr>
      </w:pPr>
      <w:r>
        <w:rPr>
          <w:rFonts w:cs="Times New Roman" w:ascii="Times New Roman" w:hAnsi="Times New Roman"/>
          <w:sz w:val="24"/>
        </w:rPr>
      </w:r>
    </w:p>
    <w:p>
      <w:pPr>
        <w:pStyle w:val="Heading4"/>
        <w:tabs>
          <w:tab w:val="left" w:pos="720" w:leader="none"/>
          <w:tab w:val="left" w:pos="1440" w:leader="none"/>
          <w:tab w:val="left" w:pos="2160" w:leader="none"/>
        </w:tabs>
        <w:ind w:hanging="0" w:start="0"/>
        <w:rPr/>
      </w:pPr>
      <w:r>
        <w:rPr>
          <w:rFonts w:cs="Times New Roman" w:ascii="Times New Roman" w:hAnsi="Times New Roman"/>
          <w:sz w:val="24"/>
          <w:u w:val="none"/>
        </w:rPr>
        <w:tab/>
      </w:r>
      <w:r>
        <w:rPr>
          <w:rFonts w:cs="Times New Roman" w:ascii="Times New Roman" w:hAnsi="Times New Roman"/>
          <w:i w:val="false"/>
          <w:iCs/>
          <w:sz w:val="24"/>
          <w:u w:val="none"/>
        </w:rPr>
        <w:t>C.</w:t>
        <w:tab/>
        <w:t>MSEB Meet and Discuss</w:t>
      </w:r>
    </w:p>
    <w:p>
      <w:pPr>
        <w:pStyle w:val="Normal"/>
        <w:ind w:start="720" w:end="0"/>
        <w:jc w:val="both"/>
        <w:rPr>
          <w:rFonts w:ascii="Times New Roman" w:hAnsi="Times New Roman" w:cs="Times New Roman"/>
          <w:i/>
          <w:i/>
          <w:iCs/>
          <w:sz w:val="24"/>
          <w:u w:val="single"/>
        </w:rPr>
      </w:pPr>
      <w:r>
        <w:rPr>
          <w:rFonts w:cs="Times New Roman" w:ascii="Times New Roman" w:hAnsi="Times New Roman"/>
          <w:i/>
          <w:iCs/>
          <w:sz w:val="24"/>
          <w:u w:val="single"/>
        </w:rPr>
      </w:r>
    </w:p>
    <w:p>
      <w:pPr>
        <w:pStyle w:val="Normal"/>
        <w:ind w:start="1440" w:end="0"/>
        <w:jc w:val="both"/>
        <w:rPr>
          <w:rFonts w:ascii="Times New Roman" w:hAnsi="Times New Roman" w:cs="Times New Roman"/>
          <w:sz w:val="24"/>
        </w:rPr>
      </w:pPr>
      <w:r>
        <w:rPr>
          <w:rFonts w:cs="Times New Roman" w:ascii="Times New Roman" w:hAnsi="Times New Roman"/>
          <w:sz w:val="24"/>
        </w:rPr>
        <w:t xml:space="preserve">The first dispute resolution meeting with MSEB was held on February 13, 2001 following a letter sent by DPC to MSEB under Clause 20.2 of the PPA.  Although none of the disputes discussed were resolved, the meeting did provide a useful forum for debating differing positions on a number of continuing practices (including the treatment of foreign exchange fluctuations under the PPA and the extent to which various changes in tax should be borne by MSEB) as well as fulfilling a prerequisite to arbitration.  The next meeting of the panel is scheduled to occur in the last week of February.  </w:t>
      </w:r>
      <w:r>
        <w:br w:type="page"/>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color w:val="000000"/>
          <w:sz w:val="24"/>
        </w:rPr>
        <w:t>D.</w:t>
        <w:tab/>
      </w:r>
      <w:r>
        <w:rPr>
          <w:rFonts w:cs="Times New Roman" w:ascii="Times New Roman" w:hAnsi="Times New Roman"/>
          <w:color w:val="000000"/>
          <w:sz w:val="24"/>
          <w:u w:val="single"/>
        </w:rPr>
        <w:t>Major Litigation Status</w:t>
      </w:r>
    </w:p>
    <w:p>
      <w:pPr>
        <w:pStyle w:val="Normal"/>
        <w:jc w:val="both"/>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ind w:start="1440" w:end="0"/>
        <w:jc w:val="both"/>
        <w:rPr/>
      </w:pPr>
      <w:r>
        <w:rPr>
          <w:rFonts w:cs="Times New Roman" w:ascii="Times New Roman" w:hAnsi="Times New Roman"/>
          <w:color w:val="000000"/>
          <w:sz w:val="24"/>
        </w:rPr>
        <w:t xml:space="preserve">DPC expects that P. B. Samant (who has filed several litigations against DPC/Enron from time to time) is in the process of filing another petition in the </w:t>
      </w:r>
      <w:r>
        <w:rPr>
          <w:rFonts w:cs="Times New Roman" w:ascii="Times New Roman" w:hAnsi="Times New Roman"/>
          <w:sz w:val="24"/>
        </w:rPr>
        <w:t>Bombay High Court in order to restrain, inter alia, GOI and/or the GOM from making payments under their respective guarantees. The petition has not been filed as yet. In anticipation of a filing of the petition, DPC sent a proposed plan of action on February 12, 2001 to all the concerned persons in Enron for their comment.</w:t>
      </w:r>
    </w:p>
    <w:p>
      <w:pPr>
        <w:pStyle w:val="BodyText"/>
        <w:tabs>
          <w:tab w:val="left" w:pos="720" w:leader="none"/>
        </w:tabs>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w:t>
        <w:tab/>
      </w:r>
      <w:r>
        <w:rPr>
          <w:rFonts w:cs="Times New Roman" w:ascii="Times New Roman" w:hAnsi="Times New Roman"/>
          <w:sz w:val="24"/>
          <w:u w:val="single"/>
        </w:rPr>
        <w:t>Other Issues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ind w:hanging="360" w:start="1800" w:end="0"/>
        <w:jc w:val="both"/>
        <w:rPr/>
      </w:pPr>
      <w:r>
        <w:rPr>
          <w:rFonts w:cs="Times New Roman" w:ascii="Times New Roman" w:hAnsi="Times New Roman"/>
          <w:sz w:val="24"/>
        </w:rPr>
        <w:t>1.</w:t>
        <w:tab/>
      </w:r>
      <w:r>
        <w:rPr>
          <w:rFonts w:cs="Times New Roman" w:ascii="Times New Roman" w:hAnsi="Times New Roman"/>
          <w:sz w:val="24"/>
          <w:u w:val="single"/>
        </w:rPr>
        <w:t>CEA Investigation</w:t>
      </w:r>
      <w:r>
        <w:rPr>
          <w:rFonts w:cs="Times New Roman" w:ascii="Times New Roman" w:hAnsi="Times New Roman"/>
          <w:sz w:val="24"/>
        </w:rPr>
        <w:t xml:space="preserve">.  DPC is aware that persons from the Central Electricity Authority ("CEA") are in the process of carrying out certain investigations in the offices of the MSEB. DPC has limited knowledge in respect of the nature of their inquiry, and therefore DPC can only prepare generally for a challenge to CEA’s approval of the project.   In this regard, DPC is focusing its review on (1) the extent to which CEA can revisit a project clearance once granted under Indian law and (2) the extent to which representations in correspondence between DPC and CEA were complete and accurate.  </w:t>
      </w:r>
    </w:p>
    <w:p>
      <w:pPr>
        <w:pStyle w:val="Normal"/>
        <w:ind w:hanging="360" w:start="1800" w:end="0"/>
        <w:jc w:val="both"/>
        <w:rPr>
          <w:rFonts w:ascii="Times New Roman" w:hAnsi="Times New Roman" w:cs="Times New Roman"/>
          <w:b/>
          <w:color w:val="000000"/>
          <w:sz w:val="24"/>
        </w:rPr>
      </w:pPr>
      <w:r>
        <w:rPr>
          <w:rFonts w:cs="Times New Roman" w:ascii="Times New Roman" w:hAnsi="Times New Roman"/>
          <w:b/>
          <w:color w:val="000000"/>
          <w:sz w:val="24"/>
        </w:rPr>
      </w:r>
    </w:p>
    <w:p>
      <w:pPr>
        <w:pStyle w:val="Normal"/>
        <w:ind w:hanging="360" w:start="1800" w:end="0"/>
        <w:jc w:val="both"/>
        <w:rPr/>
      </w:pPr>
      <w:r>
        <w:rPr>
          <w:rFonts w:cs="Times New Roman" w:ascii="Times New Roman" w:hAnsi="Times New Roman"/>
          <w:color w:val="000000"/>
          <w:sz w:val="24"/>
        </w:rPr>
        <w:t>2.</w:t>
        <w:tab/>
      </w:r>
      <w:r>
        <w:rPr>
          <w:rFonts w:cs="Times New Roman" w:ascii="Times New Roman" w:hAnsi="Times New Roman"/>
          <w:color w:val="000000"/>
          <w:sz w:val="24"/>
          <w:u w:val="single"/>
        </w:rPr>
        <w:t>Misdeclaration Issue</w:t>
      </w:r>
      <w:r>
        <w:rPr>
          <w:rFonts w:cs="Times New Roman" w:ascii="Times New Roman" w:hAnsi="Times New Roman"/>
          <w:color w:val="000000"/>
          <w:sz w:val="24"/>
        </w:rPr>
        <w:t>.  On January 28</w:t>
      </w:r>
      <w:r>
        <w:rPr>
          <w:rFonts w:cs="Times New Roman" w:ascii="Times New Roman" w:hAnsi="Times New Roman"/>
          <w:color w:val="000000"/>
          <w:sz w:val="24"/>
          <w:vertAlign w:val="superscript"/>
        </w:rPr>
        <w:t>th</w:t>
      </w:r>
      <w:r>
        <w:rPr>
          <w:rFonts w:cs="Times New Roman" w:ascii="Times New Roman" w:hAnsi="Times New Roman"/>
          <w:color w:val="000000"/>
          <w:sz w:val="24"/>
        </w:rPr>
        <w:t>, MSEB issued dispatch instructions requiring the power station to be ramped up in accordance with the start-up curves included in the PPA.  This instruction was repeated on February 13</w:t>
      </w:r>
      <w:r>
        <w:rPr>
          <w:rFonts w:cs="Times New Roman" w:ascii="Times New Roman" w:hAnsi="Times New Roman"/>
          <w:color w:val="000000"/>
          <w:sz w:val="24"/>
          <w:vertAlign w:val="superscript"/>
        </w:rPr>
        <w:t>th</w:t>
      </w:r>
      <w:r>
        <w:rPr>
          <w:rFonts w:cs="Times New Roman" w:ascii="Times New Roman" w:hAnsi="Times New Roman"/>
          <w:color w:val="000000"/>
          <w:sz w:val="24"/>
        </w:rPr>
        <w:t>.  The plant has never been able to ramp up as quickly as is required by these existing PPA curves but DPC had not, until January 29</w:t>
      </w:r>
      <w:r>
        <w:rPr>
          <w:rFonts w:cs="Times New Roman" w:ascii="Times New Roman" w:hAnsi="Times New Roman"/>
          <w:color w:val="000000"/>
          <w:sz w:val="24"/>
          <w:vertAlign w:val="superscript"/>
        </w:rPr>
        <w:t>th</w:t>
      </w:r>
      <w:r>
        <w:rPr>
          <w:rFonts w:cs="Times New Roman" w:ascii="Times New Roman" w:hAnsi="Times New Roman"/>
          <w:color w:val="000000"/>
          <w:sz w:val="24"/>
        </w:rPr>
        <w:t>, formally communicated the differences between the start up curves included in the PPA and the actual start up profile of the plant. As a result, MSEB appears ready to claim that DPC has been misdeclaring its available capacity and intends to charge DPC very large penalties.  Although DPC and outside counsel are confident that ultimately DPC will not be liable for misdeclaration penalties, MSEB could argue that MSEB should not be required to pay monthly bills until the dispute over start-ups and liability for misdeclaration penalties is resolved.</w:t>
      </w:r>
    </w:p>
    <w:p>
      <w:pPr>
        <w:pStyle w:val="BodyText"/>
        <w:tabs>
          <w:tab w:val="left" w:pos="720" w:leader="none"/>
        </w:tabs>
        <w:rPr>
          <w:rFonts w:ascii="Times New Roman" w:hAnsi="Times New Roman" w:cs="Times New Roman"/>
          <w:color w:val="000000"/>
          <w:sz w:val="24"/>
        </w:rPr>
      </w:pPr>
      <w:r>
        <w:rPr>
          <w:rFonts w:cs="Times New Roman" w:ascii="Times New Roman" w:hAnsi="Times New Roman"/>
          <w:color w:val="000000"/>
          <w:sz w:val="24"/>
        </w:rPr>
      </w:r>
    </w:p>
    <w:p>
      <w:pPr>
        <w:pStyle w:val="Normal"/>
        <w:tabs>
          <w:tab w:val="left" w:pos="720" w:leader="none"/>
          <w:tab w:val="left" w:pos="1440" w:leader="none"/>
        </w:tabs>
        <w:rPr>
          <w:rFonts w:ascii="Times New Roman" w:hAnsi="Times New Roman" w:cs="Times New Roman"/>
          <w:b/>
          <w:sz w:val="24"/>
        </w:rPr>
      </w:pPr>
      <w:r>
        <w:rPr>
          <w:rFonts w:cs="Times New Roman" w:ascii="Times New Roman" w:hAnsi="Times New Roman"/>
          <w:sz w:val="24"/>
        </w:rPr>
        <w:t>VII.</w:t>
        <w:tab/>
      </w:r>
      <w:r>
        <w:rPr>
          <w:rFonts w:cs="Times New Roman" w:ascii="Times New Roman" w:hAnsi="Times New Roman"/>
          <w:bCs/>
          <w:sz w:val="24"/>
        </w:rPr>
        <w:t>Puerto Rico</w:t>
      </w:r>
      <w:r>
        <w:rPr>
          <w:rFonts w:cs="Times New Roman" w:ascii="Times New Roman" w:hAnsi="Times New Roman"/>
          <w:b/>
          <w:sz w:val="24"/>
        </w:rPr>
        <w:t xml:space="preserve"> </w:t>
      </w:r>
      <w:r>
        <w:rPr>
          <w:rFonts w:cs="Times New Roman" w:ascii="Times New Roman" w:hAnsi="Times New Roman"/>
          <w:sz w:val="24"/>
        </w:rPr>
        <w:t>(Coralina Rivera)</w:t>
      </w:r>
    </w:p>
    <w:p>
      <w:pPr>
        <w:pStyle w:val="Heading7"/>
        <w:tabs>
          <w:tab w:val="left" w:pos="720" w:leader="none"/>
          <w:tab w:val="left" w:pos="1440" w:leader="none"/>
          <w:tab w:val="left" w:pos="2160" w:leader="none"/>
        </w:tabs>
        <w:ind w:hanging="0" w:start="0"/>
        <w:rPr>
          <w:rFonts w:ascii="Times New Roman" w:hAnsi="Times New Roman" w:cs="Times New Roman"/>
          <w:i w:val="false"/>
          <w:i w:val="false"/>
          <w:iCs/>
          <w:sz w:val="24"/>
          <w:u w:val="none"/>
        </w:rPr>
      </w:pPr>
      <w:r>
        <w:rPr>
          <w:rFonts w:cs="Times New Roman" w:ascii="Times New Roman" w:hAnsi="Times New Roman"/>
          <w:sz w:val="24"/>
          <w:u w:val="none"/>
        </w:rPr>
        <w:tab/>
      </w:r>
      <w:r>
        <w:rPr>
          <w:rFonts w:cs="Times New Roman" w:ascii="Times New Roman" w:hAnsi="Times New Roman"/>
          <w:b w:val="false"/>
          <w:bCs/>
          <w:i w:val="false"/>
          <w:iCs/>
          <w:sz w:val="24"/>
          <w:u w:val="none"/>
        </w:rPr>
        <w:t>EcoElectrica 507 MW CC LNG Plant and 160k cubic meters LNG storage</w:t>
      </w:r>
      <w:r>
        <w:rPr>
          <w:rFonts w:cs="Times New Roman" w:ascii="Times New Roman" w:hAnsi="Times New Roman"/>
          <w:i w:val="false"/>
          <w:iCs/>
          <w:sz w:val="24"/>
          <w:u w:val="none"/>
        </w:rPr>
        <w:t xml:space="preserve"> </w:t>
      </w:r>
      <w:r>
        <w:rPr>
          <w:rFonts w:cs="Times New Roman" w:ascii="Times New Roman" w:hAnsi="Times New Roman"/>
          <w:b w:val="false"/>
          <w:bCs/>
          <w:i w:val="false"/>
          <w:iCs/>
          <w:sz w:val="24"/>
          <w:u w:val="none"/>
        </w:rPr>
        <w:t>tank</w:t>
      </w:r>
    </w:p>
    <w:p>
      <w:pPr>
        <w:pStyle w:val="Normal"/>
        <w:rPr>
          <w:rFonts w:ascii="Times New Roman" w:hAnsi="Times New Roman" w:cs="Times New Roman"/>
          <w:i/>
          <w:i/>
          <w:iCs/>
          <w:sz w:val="24"/>
          <w:u w:val="none"/>
        </w:rPr>
      </w:pPr>
      <w:r>
        <w:rPr>
          <w:rFonts w:cs="Times New Roman" w:ascii="Times New Roman" w:hAnsi="Times New Roman"/>
          <w:i/>
          <w:iCs/>
          <w:sz w:val="24"/>
          <w:u w:val="none"/>
        </w:rPr>
      </w:r>
    </w:p>
    <w:p>
      <w:pPr>
        <w:pStyle w:val="BodyTextIndent2"/>
        <w:numPr>
          <w:ilvl w:val="0"/>
          <w:numId w:val="10"/>
        </w:numPr>
        <w:rPr>
          <w:sz w:val="24"/>
        </w:rPr>
      </w:pPr>
      <w:r>
        <w:rPr>
          <w:sz w:val="24"/>
        </w:rPr>
        <w:t>Siemens/Westinghouse (“SW”) warranty issues (including ramifications with lenders and underwriters).  -  $26.3MM (BI and BAR) of insurance claims currently pending analysis by adjuster.</w:t>
      </w:r>
    </w:p>
    <w:p>
      <w:pPr>
        <w:pStyle w:val="BodyTextIndent2"/>
        <w:ind w:hanging="0" w:start="0" w:end="0"/>
        <w:rPr>
          <w:sz w:val="24"/>
        </w:rPr>
      </w:pPr>
      <w:r>
        <w:rPr>
          <w:sz w:val="24"/>
        </w:rPr>
      </w:r>
    </w:p>
    <w:p>
      <w:pPr>
        <w:pStyle w:val="BodyTextIndent2"/>
        <w:numPr>
          <w:ilvl w:val="0"/>
          <w:numId w:val="10"/>
        </w:numPr>
        <w:rPr>
          <w:sz w:val="24"/>
        </w:rPr>
      </w:pPr>
      <w:r>
        <w:rPr>
          <w:sz w:val="24"/>
        </w:rPr>
        <w:t>PREPA (buyer under the PPA) payment issues –  Meeting with PREPA scheduled for 2/21/01 to discuss outstanding issues and the agreement to arbitrate filed in 12/00 (interpretation of the NYMEX adjustment factor issue).</w:t>
      </w:r>
    </w:p>
    <w:p>
      <w:pPr>
        <w:pStyle w:val="BodyTextIndent2"/>
        <w:ind w:hanging="0" w:start="0" w:end="0"/>
        <w:rPr>
          <w:sz w:val="24"/>
        </w:rPr>
      </w:pPr>
      <w:r>
        <w:rPr>
          <w:sz w:val="24"/>
        </w:rPr>
      </w:r>
    </w:p>
    <w:p>
      <w:pPr>
        <w:pStyle w:val="BodyTextIndent2"/>
        <w:numPr>
          <w:ilvl w:val="0"/>
          <w:numId w:val="10"/>
        </w:numPr>
        <w:rPr>
          <w:sz w:val="24"/>
        </w:rPr>
      </w:pPr>
      <w:r>
        <w:rPr>
          <w:sz w:val="24"/>
        </w:rPr>
        <w:t>Retainage provisions with Contractor\EECC-  Settlement agreement in progress.</w:t>
      </w:r>
    </w:p>
    <w:p>
      <w:pPr>
        <w:pStyle w:val="BodyTextIndent2"/>
        <w:ind w:hanging="0" w:start="0" w:end="0"/>
        <w:rPr>
          <w:sz w:val="24"/>
        </w:rPr>
      </w:pPr>
      <w:r>
        <w:rPr>
          <w:sz w:val="24"/>
        </w:rPr>
      </w:r>
    </w:p>
    <w:p>
      <w:pPr>
        <w:pStyle w:val="BodyTextIndent2"/>
        <w:numPr>
          <w:ilvl w:val="0"/>
          <w:numId w:val="10"/>
        </w:numPr>
        <w:rPr>
          <w:sz w:val="24"/>
        </w:rPr>
      </w:pPr>
      <w:r>
        <w:rPr>
          <w:sz w:val="24"/>
        </w:rPr>
        <w:t>NLRB – First meeting with United Steelworkers (certified in 12/00) held in P.R. on 2/5/01.  Union did not present a written proposal but submitted a request for information, which Eco will provide by 2/21/01.</w:t>
      </w:r>
    </w:p>
    <w:p>
      <w:pPr>
        <w:pStyle w:val="BodyTextIndent2"/>
        <w:ind w:hanging="0" w:start="0" w:end="0"/>
        <w:rPr>
          <w:sz w:val="24"/>
        </w:rPr>
      </w:pPr>
      <w:r>
        <w:rPr>
          <w:sz w:val="24"/>
        </w:rPr>
      </w:r>
    </w:p>
    <w:p>
      <w:pPr>
        <w:pStyle w:val="BodyTextIndent2"/>
        <w:numPr>
          <w:ilvl w:val="0"/>
          <w:numId w:val="10"/>
        </w:numPr>
        <w:rPr>
          <w:sz w:val="24"/>
        </w:rPr>
      </w:pPr>
      <w:r>
        <w:rPr>
          <w:sz w:val="24"/>
        </w:rPr>
        <w:t xml:space="preserve">Cash flow - Eco on 3/5/01 redirected 1 LNG cargo supplied by Cabot from Eco facility to Lake Charles (profit - $3.3MM).  Legal has flagged potential conflict of interest issues between Enron LNG marketing group and EcoEclectrica. </w:t>
      </w:r>
    </w:p>
    <w:p>
      <w:pPr>
        <w:pStyle w:val="BodyText"/>
        <w:tabs>
          <w:tab w:val="left" w:pos="720" w:leader="none"/>
        </w:tabs>
        <w:rPr>
          <w:rFonts w:ascii="Times New Roman" w:hAnsi="Times New Roman" w:cs="Times New Roman"/>
          <w:sz w:val="24"/>
        </w:rPr>
      </w:pPr>
      <w:r>
        <w:rPr>
          <w:rFonts w:cs="Times New Roman" w:ascii="Times New Roman" w:hAnsi="Times New Roman"/>
          <w:sz w:val="24"/>
        </w:rPr>
      </w:r>
    </w:p>
    <w:p>
      <w:pPr>
        <w:pStyle w:val="Heading1"/>
        <w:numPr>
          <w:ilvl w:val="0"/>
          <w:numId w:val="23"/>
        </w:numPr>
        <w:rPr>
          <w:b w:val="false"/>
          <w:bCs/>
          <w:sz w:val="24"/>
          <w:u w:val="none"/>
        </w:rPr>
      </w:pPr>
      <w:r>
        <w:rPr>
          <w:b w:val="false"/>
          <w:sz w:val="24"/>
          <w:u w:val="none"/>
        </w:rPr>
        <w:t>Nicaragua</w:t>
      </w:r>
      <w:r>
        <w:rPr>
          <w:sz w:val="24"/>
          <w:u w:val="none"/>
        </w:rPr>
        <w:t xml:space="preserve"> </w:t>
      </w:r>
      <w:r>
        <w:rPr>
          <w:b w:val="false"/>
          <w:bCs/>
          <w:sz w:val="24"/>
          <w:u w:val="none"/>
        </w:rPr>
        <w:t>(Francisco Pinto-Leite)</w:t>
      </w:r>
    </w:p>
    <w:p>
      <w:pPr>
        <w:pStyle w:val="Heading8"/>
        <w:tabs>
          <w:tab w:val="left" w:pos="720" w:leader="none"/>
          <w:tab w:val="left" w:pos="1440" w:leader="none"/>
          <w:tab w:val="left" w:pos="2160" w:leader="none"/>
        </w:tabs>
        <w:ind w:hanging="0" w:start="0"/>
        <w:rPr>
          <w:rFonts w:ascii="Times New Roman" w:hAnsi="Times New Roman" w:cs="Times New Roman"/>
          <w:b w:val="false"/>
          <w:sz w:val="24"/>
        </w:rPr>
      </w:pPr>
      <w:r>
        <w:rPr>
          <w:rFonts w:cs="Times New Roman" w:ascii="Times New Roman" w:hAnsi="Times New Roman"/>
          <w:b w:val="false"/>
          <w:sz w:val="24"/>
        </w:rPr>
        <w:tab/>
        <w:t>Corinto 70MW Barge-mounted Plant</w:t>
      </w:r>
    </w:p>
    <w:p>
      <w:pPr>
        <w:pStyle w:val="Normal"/>
        <w:ind w:start="720" w:end="0"/>
        <w:rPr>
          <w:rFonts w:ascii="Times New Roman" w:hAnsi="Times New Roman" w:cs="Times New Roman"/>
          <w:b/>
          <w:bCs/>
          <w:sz w:val="24"/>
        </w:rPr>
      </w:pPr>
      <w:r>
        <w:rPr>
          <w:rFonts w:cs="Times New Roman" w:ascii="Times New Roman" w:hAnsi="Times New Roman"/>
          <w:b/>
          <w:bCs/>
          <w:sz w:val="24"/>
        </w:rPr>
      </w:r>
    </w:p>
    <w:p>
      <w:pPr>
        <w:pStyle w:val="Normal"/>
        <w:ind w:start="720" w:end="0"/>
        <w:rPr>
          <w:rFonts w:ascii="Times New Roman" w:hAnsi="Times New Roman" w:cs="Times New Roman"/>
          <w:sz w:val="24"/>
        </w:rPr>
      </w:pPr>
      <w:r>
        <w:rPr>
          <w:rFonts w:cs="Times New Roman" w:ascii="Times New Roman" w:hAnsi="Times New Roman"/>
          <w:sz w:val="24"/>
        </w:rPr>
        <w:t>No significant legal issues.</w:t>
      </w:r>
    </w:p>
    <w:p>
      <w:pPr>
        <w:pStyle w:val="Heading1"/>
        <w:rPr>
          <w:rFonts w:ascii="Times New Roman" w:hAnsi="Times New Roman" w:cs="Times New Roman"/>
          <w:sz w:val="24"/>
        </w:rPr>
      </w:pPr>
      <w:r>
        <w:rPr>
          <w:rFonts w:cs="Times New Roman"/>
          <w:sz w:val="24"/>
        </w:rPr>
      </w:r>
    </w:p>
    <w:p>
      <w:pPr>
        <w:pStyle w:val="Heading1"/>
        <w:tabs>
          <w:tab w:val="left" w:pos="720" w:leader="none"/>
          <w:tab w:val="left" w:pos="1440" w:leader="none"/>
          <w:tab w:val="left" w:pos="2160" w:leader="none"/>
          <w:tab w:val="left" w:pos="5106" w:leader="none"/>
          <w:tab w:val="left" w:pos="7254" w:leader="none"/>
        </w:tabs>
        <w:ind w:start="0" w:end="0"/>
        <w:rPr/>
      </w:pPr>
      <w:r>
        <w:rPr>
          <w:b w:val="false"/>
          <w:bCs/>
          <w:sz w:val="24"/>
          <w:u w:val="none"/>
        </w:rPr>
        <w:t>IX.</w:t>
      </w:r>
      <w:r>
        <w:rPr>
          <w:sz w:val="24"/>
          <w:u w:val="none"/>
        </w:rPr>
        <w:tab/>
      </w:r>
      <w:r>
        <w:rPr>
          <w:b w:val="false"/>
          <w:sz w:val="24"/>
          <w:u w:val="none"/>
        </w:rPr>
        <w:t xml:space="preserve">Guatemala </w:t>
      </w:r>
      <w:r>
        <w:rPr>
          <w:b w:val="false"/>
          <w:bCs/>
          <w:sz w:val="24"/>
          <w:u w:val="none"/>
        </w:rPr>
        <w:t>(Francisco Pinto-Leite)</w:t>
      </w:r>
    </w:p>
    <w:p>
      <w:pPr>
        <w:pStyle w:val="Heading1"/>
        <w:tabs>
          <w:tab w:val="left" w:pos="720" w:leader="none"/>
          <w:tab w:val="left" w:pos="1440" w:leader="none"/>
          <w:tab w:val="left" w:pos="2160" w:leader="none"/>
          <w:tab w:val="left" w:pos="5106" w:leader="none"/>
          <w:tab w:val="left" w:pos="7254" w:leader="none"/>
        </w:tabs>
        <w:ind w:start="0" w:end="0"/>
        <w:rPr>
          <w:sz w:val="24"/>
          <w:u w:val="none"/>
        </w:rPr>
      </w:pPr>
      <w:r>
        <w:rPr>
          <w:b w:val="false"/>
          <w:bCs/>
          <w:sz w:val="24"/>
          <w:u w:val="none"/>
        </w:rPr>
        <w:tab/>
        <w:t>PQPLLC 234MW Barge-mounted Plant</w:t>
      </w:r>
    </w:p>
    <w:p>
      <w:pPr>
        <w:pStyle w:val="Normal"/>
        <w:jc w:val="center"/>
        <w:rPr>
          <w:rFonts w:ascii="Times New Roman" w:hAnsi="Times New Roman" w:cs="Times New Roman"/>
          <w:sz w:val="24"/>
          <w:u w:val="none"/>
        </w:rPr>
      </w:pPr>
      <w:r>
        <w:rPr>
          <w:rFonts w:cs="Times New Roman" w:ascii="Times New Roman" w:hAnsi="Times New Roman"/>
          <w:sz w:val="24"/>
          <w:u w:val="none"/>
        </w:rPr>
      </w:r>
    </w:p>
    <w:p>
      <w:pPr>
        <w:pStyle w:val="Normal"/>
        <w:ind w:start="720" w:end="0"/>
        <w:rPr>
          <w:rFonts w:ascii="Times New Roman" w:hAnsi="Times New Roman" w:cs="Times New Roman"/>
          <w:sz w:val="24"/>
        </w:rPr>
      </w:pPr>
      <w:r>
        <w:rPr>
          <w:rFonts w:cs="Times New Roman" w:ascii="Times New Roman" w:hAnsi="Times New Roman"/>
          <w:sz w:val="24"/>
        </w:rPr>
        <w:t>The project is challenging Guatemala’s export restrictions to El Salvador (El Salvador absorbs a significant portion of the merchant capacity).</w:t>
      </w:r>
    </w:p>
    <w:p>
      <w:pPr>
        <w:pStyle w:val="Normal"/>
        <w:ind w:start="360" w:end="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440" w:leader="none"/>
          <w:tab w:val="left" w:pos="2160" w:leader="none"/>
          <w:tab w:val="left" w:pos="5106" w:leader="none"/>
          <w:tab w:val="left" w:pos="7254" w:leader="none"/>
        </w:tabs>
        <w:ind w:start="0" w:end="0"/>
        <w:rPr/>
      </w:pPr>
      <w:r>
        <w:rPr>
          <w:b w:val="false"/>
          <w:bCs/>
          <w:sz w:val="24"/>
          <w:u w:val="none"/>
        </w:rPr>
        <w:t>X.</w:t>
        <w:tab/>
      </w:r>
      <w:r>
        <w:rPr>
          <w:b w:val="false"/>
          <w:sz w:val="24"/>
          <w:u w:val="none"/>
        </w:rPr>
        <w:t>Panama</w:t>
      </w:r>
      <w:r>
        <w:rPr>
          <w:sz w:val="24"/>
          <w:u w:val="none"/>
        </w:rPr>
        <w:t xml:space="preserve"> </w:t>
      </w:r>
      <w:r>
        <w:rPr>
          <w:b w:val="false"/>
          <w:bCs/>
          <w:sz w:val="24"/>
          <w:u w:val="none"/>
        </w:rPr>
        <w:t>(Francisco Pinto-Leite)</w:t>
      </w:r>
    </w:p>
    <w:p>
      <w:pPr>
        <w:pStyle w:val="Normal"/>
        <w:ind w:firstLine="720" w:end="0"/>
        <w:rPr>
          <w:rFonts w:ascii="Times New Roman" w:hAnsi="Times New Roman" w:cs="Times New Roman"/>
          <w:sz w:val="24"/>
        </w:rPr>
      </w:pPr>
      <w:r>
        <w:rPr>
          <w:rFonts w:cs="Times New Roman" w:ascii="Times New Roman" w:hAnsi="Times New Roman"/>
          <w:sz w:val="24"/>
        </w:rPr>
        <w:t>Combined cycle 330 MW power plant.</w:t>
      </w:r>
    </w:p>
    <w:p>
      <w:pPr>
        <w:pStyle w:val="Normal"/>
        <w:rPr>
          <w:rFonts w:ascii="Times New Roman" w:hAnsi="Times New Roman" w:cs="Times New Roman"/>
          <w:sz w:val="24"/>
        </w:rPr>
      </w:pPr>
      <w:r>
        <w:rPr>
          <w:rFonts w:cs="Times New Roman" w:ascii="Times New Roman" w:hAnsi="Times New Roman"/>
          <w:sz w:val="24"/>
        </w:rPr>
      </w:r>
    </w:p>
    <w:p>
      <w:pPr>
        <w:pStyle w:val="Normal"/>
        <w:ind w:start="720" w:end="0"/>
        <w:rPr>
          <w:rFonts w:ascii="Times New Roman" w:hAnsi="Times New Roman" w:cs="Times New Roman"/>
          <w:sz w:val="24"/>
        </w:rPr>
      </w:pPr>
      <w:r>
        <w:rPr>
          <w:rFonts w:cs="Times New Roman" w:ascii="Times New Roman" w:hAnsi="Times New Roman"/>
          <w:sz w:val="24"/>
        </w:rPr>
        <w:t>The project has commenced legal action challenging resolutions by the regulator that directly impacted the PPA’s.  At the end of last year, the Supreme Court in Panama granted injunctive relief and suspended the resolutions.  Both the regulator and the dispatch entity failed to comply with the Supreme Court’s order and the project filed for contempt.  An all-inclusive settlement is being negotiated with the government.  Parties are still apart on a number of issues.</w:t>
      </w:r>
    </w:p>
    <w:p>
      <w:pPr>
        <w:pStyle w:val="Normal"/>
        <w:ind w:start="360" w:end="0"/>
        <w:rPr>
          <w:rFonts w:ascii="Times New Roman" w:hAnsi="Times New Roman" w:cs="Times New Roman"/>
          <w:sz w:val="24"/>
        </w:rPr>
      </w:pPr>
      <w:r>
        <w:rPr>
          <w:rFonts w:cs="Times New Roman" w:ascii="Times New Roman" w:hAnsi="Times New Roman"/>
          <w:sz w:val="24"/>
        </w:rPr>
      </w:r>
    </w:p>
    <w:p>
      <w:pPr>
        <w:pStyle w:val="Heading5"/>
        <w:ind w:hanging="0" w:start="0"/>
        <w:rPr/>
      </w:pPr>
      <w:r>
        <w:rPr>
          <w:b w:val="false"/>
          <w:sz w:val="24"/>
          <w:u w:val="none"/>
        </w:rPr>
        <w:t>XI.</w:t>
      </w:r>
      <w:r>
        <w:rPr>
          <w:sz w:val="24"/>
          <w:u w:val="none"/>
        </w:rPr>
        <w:tab/>
      </w:r>
      <w:r>
        <w:rPr>
          <w:b w:val="false"/>
          <w:bCs w:val="false"/>
          <w:sz w:val="24"/>
          <w:u w:val="none"/>
        </w:rPr>
        <w:t xml:space="preserve">Venezuela </w:t>
      </w:r>
      <w:r>
        <w:rPr>
          <w:b w:val="false"/>
          <w:sz w:val="24"/>
          <w:u w:val="none"/>
        </w:rPr>
        <w:t>(Miguel Mendoza)</w:t>
      </w:r>
    </w:p>
    <w:p>
      <w:pPr>
        <w:pStyle w:val="Normal"/>
        <w:tabs>
          <w:tab w:val="clear" w:pos="720"/>
          <w:tab w:val="left" w:pos="360" w:leader="none"/>
        </w:tabs>
        <w:rPr>
          <w:rFonts w:ascii="Times New Roman" w:hAnsi="Times New Roman" w:cs="Times New Roman"/>
          <w:sz w:val="24"/>
        </w:rPr>
      </w:pPr>
      <w:r>
        <w:rPr>
          <w:rFonts w:cs="Times New Roman" w:ascii="Times New Roman" w:hAnsi="Times New Roman"/>
          <w:sz w:val="24"/>
        </w:rPr>
        <w:tab/>
        <w:tab/>
        <w:t>A.</w:t>
        <w:tab/>
        <w:t>Accro</w:t>
      </w:r>
    </w:p>
    <w:p>
      <w:pPr>
        <w:pStyle w:val="Normal"/>
        <w:tabs>
          <w:tab w:val="clear" w:pos="720"/>
          <w:tab w:val="left" w:pos="360" w:leader="none"/>
        </w:tabs>
        <w:ind w:hanging="1440" w:start="1440" w:end="0"/>
        <w:rPr>
          <w:rFonts w:ascii="Times New Roman" w:hAnsi="Times New Roman" w:cs="Times New Roman"/>
          <w:sz w:val="24"/>
        </w:rPr>
      </w:pPr>
      <w:r>
        <w:rPr>
          <w:rFonts w:cs="Times New Roman" w:ascii="Times New Roman" w:hAnsi="Times New Roman"/>
          <w:sz w:val="24"/>
        </w:rPr>
        <w:tab/>
        <w:tab/>
        <w:t>Transcanada sale to Williams and potential acquisition by Williams of Enron’s 49.25% interest in Accro</w:t>
      </w:r>
    </w:p>
    <w:p>
      <w:pPr>
        <w:pStyle w:val="Normal"/>
        <w:tabs>
          <w:tab w:val="clear" w:pos="720"/>
          <w:tab w:val="left" w:pos="360" w:leader="none"/>
        </w:tabs>
        <w:ind w:hanging="1440" w:start="1440" w:end="0"/>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Lender’s (OPIC/EXIM) counsel and internal legal department are currently reviewing documentation in connection with Transcanada sale to Williams, including assignment of project contracts. The transaction is pending lenders approval.</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30"/>
        </w:numPr>
        <w:rPr>
          <w:rFonts w:ascii="Times New Roman" w:hAnsi="Times New Roman" w:cs="Times New Roman"/>
          <w:sz w:val="24"/>
        </w:rPr>
      </w:pPr>
      <w:r>
        <w:rPr>
          <w:rFonts w:cs="Times New Roman" w:ascii="Times New Roman" w:hAnsi="Times New Roman"/>
          <w:sz w:val="24"/>
        </w:rPr>
        <w:t>Bachaquero</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The Enron commercial team is still discussing potential sale to our partner, Hanover.</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30"/>
        </w:numPr>
        <w:rPr>
          <w:rFonts w:ascii="Times New Roman" w:hAnsi="Times New Roman" w:cs="Times New Roman"/>
          <w:sz w:val="24"/>
        </w:rPr>
      </w:pPr>
      <w:r>
        <w:rPr>
          <w:rFonts w:cs="Times New Roman" w:ascii="Times New Roman" w:hAnsi="Times New Roman"/>
          <w:sz w:val="24"/>
        </w:rPr>
        <w:t>Calife</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We reviewed and prepared comments to first draft of lease agreement presented by Cadafe.  We also met last week with Cadafe general counsel to discuss comments.</w:t>
      </w:r>
      <w:r>
        <w:br w:type="page"/>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XII.</w:t>
        <w:tab/>
      </w:r>
      <w:r>
        <w:rPr>
          <w:rFonts w:cs="Times New Roman" w:ascii="Times New Roman" w:hAnsi="Times New Roman"/>
          <w:bCs/>
          <w:sz w:val="24"/>
        </w:rPr>
        <w:t xml:space="preserve">Colombia </w:t>
      </w:r>
      <w:r>
        <w:rPr>
          <w:rFonts w:cs="Times New Roman" w:ascii="Times New Roman" w:hAnsi="Times New Roman"/>
          <w:sz w:val="24"/>
        </w:rPr>
        <w:t>(Miguel Mendoza)</w:t>
      </w:r>
    </w:p>
    <w:p>
      <w:pPr>
        <w:pStyle w:val="Heading8"/>
        <w:tabs>
          <w:tab w:val="left" w:pos="720" w:leader="none"/>
          <w:tab w:val="left" w:pos="1440" w:leader="none"/>
          <w:tab w:val="left" w:pos="2160" w:leader="none"/>
        </w:tabs>
        <w:ind w:hanging="0" w:start="0"/>
        <w:rPr/>
      </w:pPr>
      <w:r>
        <w:rPr>
          <w:rFonts w:cs="Times New Roman" w:ascii="Times New Roman" w:hAnsi="Times New Roman"/>
          <w:sz w:val="24"/>
        </w:rPr>
        <w:tab/>
      </w:r>
      <w:r>
        <w:rPr>
          <w:rFonts w:cs="Times New Roman" w:ascii="Times New Roman" w:hAnsi="Times New Roman"/>
          <w:b w:val="false"/>
          <w:bCs w:val="false"/>
          <w:sz w:val="24"/>
        </w:rPr>
        <w:t>Centragas</w:t>
      </w:r>
    </w:p>
    <w:p>
      <w:pPr>
        <w:pStyle w:val="Normal"/>
        <w:ind w:start="720" w:end="0"/>
        <w:rPr>
          <w:rFonts w:ascii="Times New Roman" w:hAnsi="Times New Roman" w:cs="Times New Roman"/>
          <w:b/>
          <w:bCs/>
          <w:sz w:val="24"/>
        </w:rPr>
      </w:pPr>
      <w:r>
        <w:rPr>
          <w:rFonts w:cs="Times New Roman" w:ascii="Times New Roman" w:hAnsi="Times New Roman"/>
          <w:b/>
          <w:bCs/>
          <w:sz w:val="24"/>
        </w:rPr>
      </w:r>
    </w:p>
    <w:p>
      <w:pPr>
        <w:pStyle w:val="Normal"/>
        <w:numPr>
          <w:ilvl w:val="0"/>
          <w:numId w:val="4"/>
        </w:numPr>
        <w:rPr>
          <w:rFonts w:ascii="Times New Roman" w:hAnsi="Times New Roman" w:cs="Times New Roman"/>
          <w:sz w:val="24"/>
        </w:rPr>
      </w:pPr>
      <w:r>
        <w:rPr>
          <w:rFonts w:cs="Times New Roman" w:ascii="Times New Roman" w:hAnsi="Times New Roman"/>
          <w:sz w:val="24"/>
        </w:rPr>
        <w:t>Tax Litigation</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The project filed exemptions against DIAN’s (Colombian IRS) request for mandatory payment.</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Centragas met with DIAN officials to discuss potential settlement of tax claim.  New tax law authorizes DIAN to settle tax claims for 75% of total amount in controversy and without interest as an incentive for taxpayers to settle tax disputes.  The EGA commercial team is analyzing a potential settlement offer to DIAN.  Early settlement will save substantial cost in legal fees and litigation related expenses.</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4"/>
        </w:numPr>
        <w:rPr>
          <w:rFonts w:ascii="Times New Roman" w:hAnsi="Times New Roman" w:cs="Times New Roman"/>
          <w:sz w:val="24"/>
        </w:rPr>
      </w:pPr>
      <w:r>
        <w:rPr>
          <w:rFonts w:cs="Times New Roman" w:ascii="Times New Roman" w:hAnsi="Times New Roman"/>
          <w:sz w:val="24"/>
        </w:rPr>
        <w:t>Potential sell down of Enron’s equity interest in Centragas</w:t>
      </w:r>
    </w:p>
    <w:p>
      <w:pPr>
        <w:pStyle w:val="Normal"/>
        <w:rPr>
          <w:rFonts w:ascii="Times New Roman" w:hAnsi="Times New Roman" w:cs="Times New Roman"/>
          <w:sz w:val="24"/>
        </w:rPr>
      </w:pPr>
      <w:r>
        <w:rPr>
          <w:rFonts w:cs="Times New Roman" w:ascii="Times New Roman" w:hAnsi="Times New Roman"/>
          <w:sz w:val="24"/>
        </w:rPr>
      </w:r>
    </w:p>
    <w:p>
      <w:pPr>
        <w:pStyle w:val="Normal"/>
        <w:ind w:start="1440" w:end="0"/>
        <w:rPr>
          <w:rFonts w:ascii="Times New Roman" w:hAnsi="Times New Roman" w:cs="Times New Roman"/>
          <w:sz w:val="24"/>
        </w:rPr>
      </w:pPr>
      <w:r>
        <w:rPr>
          <w:rFonts w:cs="Times New Roman" w:ascii="Times New Roman" w:hAnsi="Times New Roman"/>
          <w:sz w:val="24"/>
        </w:rPr>
        <w:t>A Confidentiality Agreement signed with Corfivalle (Colombian investment bank).  We are preparing for Corfivalle initial due diligence.</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color w:val="000000"/>
          <w:sz w:val="24"/>
        </w:rPr>
        <w:t>XIII.</w:t>
        <w:tab/>
      </w:r>
      <w:r>
        <w:rPr>
          <w:rFonts w:cs="Times New Roman" w:ascii="Times New Roman" w:hAnsi="Times New Roman"/>
          <w:bCs/>
          <w:color w:val="000000"/>
          <w:sz w:val="24"/>
        </w:rPr>
        <w:t>Philippines</w:t>
      </w:r>
      <w:r>
        <w:rPr>
          <w:rFonts w:cs="Times New Roman" w:ascii="Times New Roman" w:hAnsi="Times New Roman"/>
          <w:color w:val="000000"/>
          <w:sz w:val="24"/>
        </w:rPr>
        <w:t xml:space="preserve"> (Angel Esguerra)</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Heading9"/>
        <w:numPr>
          <w:ilvl w:val="0"/>
          <w:numId w:val="20"/>
        </w:numPr>
        <w:spacing w:lineRule="auto" w:line="240"/>
        <w:rPr>
          <w:u w:val="none"/>
        </w:rPr>
      </w:pPr>
      <w:r>
        <w:rPr>
          <w:u w:val="none"/>
        </w:rPr>
        <w:t>Bulacan Biomass Power Project</w:t>
      </w:r>
    </w:p>
    <w:p>
      <w:pPr>
        <w:pStyle w:val="Header"/>
        <w:tabs>
          <w:tab w:val="clear" w:pos="4320"/>
          <w:tab w:val="clear" w:pos="8640"/>
        </w:tabs>
        <w:rPr>
          <w:rFonts w:ascii="Times New Roman" w:hAnsi="Times New Roman" w:cs="Times New Roman"/>
          <w:sz w:val="24"/>
          <w:u w:val="none"/>
        </w:rPr>
      </w:pPr>
      <w:r>
        <w:rPr>
          <w:rFonts w:cs="Times New Roman" w:ascii="Times New Roman" w:hAnsi="Times New Roman"/>
          <w:sz w:val="24"/>
          <w:u w:val="none"/>
        </w:rPr>
      </w:r>
    </w:p>
    <w:p>
      <w:pPr>
        <w:pStyle w:val="Normal"/>
        <w:ind w:start="1440" w:end="0"/>
        <w:rPr>
          <w:rFonts w:ascii="Times New Roman" w:hAnsi="Times New Roman" w:cs="Times New Roman"/>
          <w:color w:val="000000"/>
          <w:sz w:val="24"/>
        </w:rPr>
      </w:pPr>
      <w:r>
        <w:rPr>
          <w:rFonts w:cs="Times New Roman" w:ascii="Times New Roman" w:hAnsi="Times New Roman"/>
          <w:color w:val="000000"/>
          <w:sz w:val="24"/>
        </w:rPr>
        <w:t xml:space="preserve">The project team members are (a) meeting with the lenders’ and their counsel in Singapore on the terms of the project financing agreements, (b) discussing the project structure with Enron’s tax department, and (c) conferring by telephone with potential buyers of the majority of Enron’s equity at project completion date.  Enron’s Philippine counsel are also conferring with the lenders’ Philippine counsel regarding the list of local permits and consents that are conditions precedent to financial closing. Consultants engaged by Enron and/or its joint developer, Cypress Energy, continue to pursue some of the local permits and consents. </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20"/>
        </w:numPr>
        <w:rPr>
          <w:rFonts w:ascii="Times New Roman" w:hAnsi="Times New Roman" w:cs="Times New Roman"/>
          <w:color w:val="000000"/>
          <w:sz w:val="24"/>
        </w:rPr>
      </w:pPr>
      <w:r>
        <w:rPr>
          <w:rFonts w:cs="Times New Roman" w:ascii="Times New Roman" w:hAnsi="Times New Roman"/>
          <w:color w:val="000000"/>
          <w:sz w:val="24"/>
        </w:rPr>
        <w:t>Batangas Power Plant</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BodyText2"/>
        <w:tabs>
          <w:tab w:val="left" w:pos="720" w:leader="none"/>
          <w:tab w:val="left" w:pos="1440" w:leader="none"/>
          <w:tab w:val="left" w:pos="2160" w:leader="none"/>
          <w:tab w:val="left" w:pos="5106" w:leader="none"/>
          <w:tab w:val="left" w:pos="7254" w:leader="none"/>
        </w:tabs>
        <w:ind w:hanging="1440" w:start="1440" w:end="0"/>
        <w:rPr>
          <w:sz w:val="24"/>
        </w:rPr>
      </w:pPr>
      <w:r>
        <w:rPr>
          <w:sz w:val="24"/>
        </w:rPr>
        <w:tab/>
        <w:tab/>
        <w:t>Enron Philippines is studying the possible refinancing of the remaining project debt (ADB and OPIC) with a loan from Citibank so as, among others, to resolve issues raised by ADB regarding environmental regulations.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20"/>
        </w:numPr>
        <w:rPr>
          <w:rFonts w:ascii="Times New Roman" w:hAnsi="Times New Roman" w:cs="Times New Roman"/>
          <w:color w:val="000000"/>
          <w:sz w:val="24"/>
        </w:rPr>
      </w:pPr>
      <w:r>
        <w:rPr>
          <w:rFonts w:cs="Times New Roman" w:ascii="Times New Roman" w:hAnsi="Times New Roman"/>
          <w:color w:val="000000"/>
          <w:sz w:val="24"/>
        </w:rPr>
        <w:t>Subic Power Plant</w:t>
      </w:r>
    </w:p>
    <w:p>
      <w:pPr>
        <w:pStyle w:val="Normal"/>
        <w:ind w:start="1440" w:end="0"/>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BodyText2"/>
        <w:tabs>
          <w:tab w:val="left" w:pos="720" w:leader="none"/>
          <w:tab w:val="left" w:pos="1440" w:leader="none"/>
          <w:tab w:val="left" w:pos="2160" w:leader="none"/>
          <w:tab w:val="left" w:pos="5106" w:leader="none"/>
          <w:tab w:val="left" w:pos="7254" w:leader="none"/>
        </w:tabs>
        <w:ind w:hanging="1440" w:start="1440" w:end="0"/>
        <w:rPr>
          <w:sz w:val="24"/>
        </w:rPr>
      </w:pPr>
      <w:r>
        <w:rPr>
          <w:sz w:val="24"/>
        </w:rPr>
        <w:tab/>
        <w:tab/>
        <w:t xml:space="preserve">External litigation counsel continue to present evidence (including testimony of internal counsel and numerous documents) in cases filed with the Philippine Court of Tax Appeals to contest tax assessments by the Philippine Bureau of Internal Revenue. </w:t>
      </w:r>
    </w:p>
    <w:p>
      <w:pPr>
        <w:pStyle w:val="BodyText2"/>
        <w:ind w:start="1440" w:end="0"/>
        <w:rPr>
          <w:sz w:val="24"/>
        </w:rPr>
      </w:pPr>
      <w:r>
        <w:rPr>
          <w:sz w:val="24"/>
        </w:rPr>
      </w:r>
    </w:p>
    <w:p>
      <w:pPr>
        <w:pStyle w:val="Normal"/>
        <w:ind w:start="1440" w:end="0"/>
        <w:rPr>
          <w:rFonts w:ascii="Times New Roman" w:hAnsi="Times New Roman" w:cs="Times New Roman"/>
          <w:sz w:val="24"/>
        </w:rPr>
      </w:pPr>
      <w:r>
        <w:rPr>
          <w:rFonts w:cs="Times New Roman" w:ascii="Times New Roman" w:hAnsi="Times New Roman"/>
          <w:color w:val="000000"/>
          <w:sz w:val="24"/>
        </w:rPr>
        <w:t>Internal counsel terminated preliminary conferences with plaintiffs in a labor action against Subic. Engagement of external counsel may be necessary for the trial of the case.</w:t>
      </w:r>
      <w:r>
        <w:br w:type="page"/>
      </w:r>
    </w:p>
    <w:p>
      <w:pPr>
        <w:pStyle w:val="Normal"/>
        <w:rPr>
          <w:rFonts w:ascii="Times New Roman" w:hAnsi="Times New Roman" w:cs="Times New Roman"/>
          <w:sz w:val="24"/>
        </w:rPr>
      </w:pPr>
      <w:r>
        <w:rPr>
          <w:rFonts w:cs="Times New Roman" w:ascii="Times New Roman" w:hAnsi="Times New Roman"/>
          <w:sz w:val="24"/>
        </w:rPr>
      </w:r>
    </w:p>
    <w:p>
      <w:pPr>
        <w:pStyle w:val="Normal"/>
        <w:keepNext w:val="true"/>
        <w:keepLines/>
        <w:numPr>
          <w:ilvl w:val="0"/>
          <w:numId w:val="8"/>
        </w:numPr>
        <w:rPr>
          <w:rFonts w:ascii="Times New Roman" w:hAnsi="Times New Roman" w:cs="Times New Roman"/>
          <w:color w:val="000000"/>
          <w:sz w:val="24"/>
        </w:rPr>
      </w:pPr>
      <w:r>
        <w:rPr>
          <w:rFonts w:cs="Times New Roman" w:ascii="Times New Roman" w:hAnsi="Times New Roman"/>
          <w:bCs/>
          <w:color w:val="000000"/>
          <w:sz w:val="24"/>
        </w:rPr>
        <w:t>Guam</w:t>
      </w:r>
      <w:r>
        <w:rPr>
          <w:rFonts w:cs="Times New Roman" w:ascii="Times New Roman" w:hAnsi="Times New Roman"/>
          <w:color w:val="000000"/>
          <w:sz w:val="24"/>
        </w:rPr>
        <w:t xml:space="preserve"> (Angel Esguerra)</w:t>
      </w:r>
    </w:p>
    <w:p>
      <w:pPr>
        <w:pStyle w:val="Normal"/>
        <w:keepNext w:val="true"/>
        <w:keepLines/>
        <w:ind w:start="720" w:end="0"/>
        <w:rPr>
          <w:rFonts w:ascii="Times New Roman" w:hAnsi="Times New Roman" w:cs="Times New Roman"/>
          <w:color w:val="000000"/>
          <w:sz w:val="24"/>
        </w:rPr>
      </w:pPr>
      <w:r>
        <w:rPr>
          <w:rFonts w:cs="Times New Roman" w:ascii="Times New Roman" w:hAnsi="Times New Roman"/>
          <w:color w:val="000000"/>
          <w:sz w:val="24"/>
        </w:rPr>
        <w:t>Piti Power Plant</w:t>
      </w:r>
    </w:p>
    <w:p>
      <w:pPr>
        <w:pStyle w:val="Normal"/>
        <w:keepNext w:val="true"/>
        <w:keepLines/>
        <w:rPr>
          <w:rFonts w:ascii="Times New Roman" w:hAnsi="Times New Roman" w:cs="Times New Roman"/>
          <w:color w:val="000000"/>
          <w:sz w:val="24"/>
        </w:rPr>
      </w:pPr>
      <w:r>
        <w:rPr>
          <w:rFonts w:cs="Times New Roman" w:ascii="Times New Roman" w:hAnsi="Times New Roman"/>
          <w:color w:val="000000"/>
          <w:sz w:val="24"/>
        </w:rPr>
      </w:r>
    </w:p>
    <w:p>
      <w:pPr>
        <w:pStyle w:val="BodyText2"/>
        <w:tabs>
          <w:tab w:val="left" w:pos="720" w:leader="none"/>
          <w:tab w:val="left" w:pos="1440" w:leader="none"/>
          <w:tab w:val="left" w:pos="2160" w:leader="none"/>
          <w:tab w:val="left" w:pos="2250" w:leader="none"/>
          <w:tab w:val="left" w:pos="5106" w:leader="none"/>
          <w:tab w:val="left" w:pos="7254" w:leader="none"/>
        </w:tabs>
        <w:ind w:hanging="720" w:start="720" w:end="0"/>
        <w:rPr>
          <w:sz w:val="24"/>
        </w:rPr>
      </w:pPr>
      <w:r>
        <w:rPr>
          <w:sz w:val="24"/>
        </w:rPr>
        <w:tab/>
        <w:t xml:space="preserve">The project is considering the replacement of all the cash in the debt service reserve account with a letter of credit obtained by Enron Corp. Counsel is drafting a reimbursement agreement among the joint venture partners regarding the terms and conditions of Enron's return of Tomen's share in the this cash. </w:t>
      </w:r>
    </w:p>
    <w:p>
      <w:pPr>
        <w:pStyle w:val="Normal"/>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720" w:right="720" w:gutter="0" w:header="288" w:top="576" w:footer="432"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/mnt/main-storage/datasets/enron-docs/doc/Monthly_Report_Feb_JVD.doc</w:t>
    </w:r>
    <w:r>
      <w:rPr>
        <w:rStyle w:val="PageNumber"/>
        <w:sz w:val="12"/>
      </w:rPr>
      <w:fldChar w:fldCharType="end"/>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rPr>
    </w:pPr>
    <w:r>
      <w:rPr>
        <w:b/>
        <w:bCs/>
        <w:i/>
      </w:rPr>
      <w:t>PRIVILEGED AND CONFIDENTIAL</w:t>
    </w:r>
  </w:p>
  <w:p>
    <w:pPr>
      <w:pStyle w:val="Header"/>
      <w:jc w:val="end"/>
      <w:rPr>
        <w:b/>
        <w:bCs/>
        <w:i/>
        <w:i/>
      </w:rPr>
    </w:pPr>
    <w:r>
      <w:rPr>
        <w:b/>
        <w:bCs/>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2160"/>
        </w:tabs>
        <w:ind w:start="2160" w:hanging="360"/>
      </w:pPr>
      <w:rPr/>
    </w:lvl>
  </w:abstractNum>
  <w:abstractNum w:abstractNumId="8">
    <w:lvl w:ilvl="0">
      <w:start w:val="14"/>
      <w:numFmt w:val="upperRoman"/>
      <w:lvlText w:val="%1."/>
      <w:lvlJc w:val="start"/>
      <w:pPr>
        <w:tabs>
          <w:tab w:val="num" w:pos="720"/>
        </w:tabs>
        <w:ind w:start="720" w:hanging="720"/>
      </w:pPr>
      <w:r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upperLetter"/>
      <w:lvlText w:val="%1."/>
      <w:lvlJc w:val="start"/>
      <w:pPr>
        <w:tabs>
          <w:tab w:val="num" w:pos="1440"/>
        </w:tabs>
        <w:ind w:start="1440" w:hanging="72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rPr/>
    </w:lvl>
  </w:abstractNum>
  <w:abstractNum w:abstractNumId="14">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5">
    <w:lvl w:ilvl="0">
      <w:start w:val="1"/>
      <w:numFmt w:val="decimal"/>
      <w:lvlText w:val="%1."/>
      <w:lvlJc w:val="start"/>
      <w:pPr>
        <w:tabs>
          <w:tab w:val="num" w:pos="720"/>
        </w:tabs>
        <w:ind w:start="720" w:hanging="360"/>
      </w:pPr>
    </w:lvl>
  </w:abstractNum>
  <w:abstractNum w:abstractNumId="16">
    <w:lvl w:ilvl="0">
      <w:start w:val="1"/>
      <w:numFmt w:val="upperLetter"/>
      <w:lvlText w:val="%1."/>
      <w:lvlJc w:val="start"/>
      <w:pPr>
        <w:tabs>
          <w:tab w:val="num" w:pos="1440"/>
        </w:tabs>
        <w:ind w:start="1440" w:hanging="720"/>
      </w:pPr>
      <w:rPr/>
    </w:lvl>
  </w:abstractNum>
  <w:abstractNum w:abstractNumId="17">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360"/>
        </w:tabs>
        <w:ind w:start="1080" w:hanging="360"/>
      </w:pPr>
      <w:rPr>
        <w:rFonts w:ascii="Symbol" w:hAnsi="Symbol" w:cs="Symbol" w:hint="default"/>
      </w:rPr>
    </w:lvl>
  </w:abstractNum>
  <w:abstractNum w:abstractNumId="19">
    <w:lvl w:ilvl="0">
      <w:start w:val="1"/>
      <w:numFmt w:val="decimal"/>
      <w:lvlText w:val="%1."/>
      <w:lvlJc w:val="start"/>
      <w:pPr>
        <w:tabs>
          <w:tab w:val="num" w:pos="780"/>
        </w:tabs>
        <w:ind w:start="780" w:hanging="420"/>
      </w:pPr>
    </w:lvl>
  </w:abstractNum>
  <w:abstractNum w:abstractNumId="20">
    <w:lvl w:ilvl="0">
      <w:start w:val="1"/>
      <w:numFmt w:val="upperLetter"/>
      <w:lvlText w:val="%1."/>
      <w:lvlJc w:val="start"/>
      <w:pPr>
        <w:tabs>
          <w:tab w:val="num" w:pos="1440"/>
        </w:tabs>
        <w:ind w:start="1440" w:hanging="720"/>
      </w:pPr>
      <w:rPr>
        <w:u w:val="none"/>
      </w:rPr>
    </w:lvl>
  </w:abstractNum>
  <w:abstractNum w:abstractNumId="21">
    <w:lvl w:ilvl="0">
      <w:start w:val="5"/>
      <w:numFmt w:val="upperRoman"/>
      <w:lvlText w:val="%1."/>
      <w:lvlJc w:val="start"/>
      <w:pPr>
        <w:tabs>
          <w:tab w:val="num" w:pos="720"/>
        </w:tabs>
        <w:ind w:start="720" w:hanging="720"/>
      </w:pPr>
      <w:rPr/>
    </w:lvl>
  </w:abstractNum>
  <w:abstractNum w:abstractNumId="22">
    <w:lvl w:ilvl="0">
      <w:start w:val="1"/>
      <w:numFmt w:val="decimal"/>
      <w:lvlText w:val="%1."/>
      <w:lvlJc w:val="start"/>
      <w:pPr>
        <w:tabs>
          <w:tab w:val="num" w:pos="720"/>
        </w:tabs>
        <w:ind w:start="720" w:hanging="720"/>
      </w:pPr>
      <w:rPr/>
    </w:lvl>
  </w:abstractNum>
  <w:abstractNum w:abstractNumId="23">
    <w:lvl w:ilvl="0">
      <w:start w:val="8"/>
      <w:numFmt w:val="upperRoman"/>
      <w:lvlText w:val="%1."/>
      <w:lvlJc w:val="start"/>
      <w:pPr>
        <w:tabs>
          <w:tab w:val="num" w:pos="720"/>
        </w:tabs>
        <w:ind w:start="720" w:hanging="720"/>
      </w:pPr>
      <w:rPr/>
    </w:lvl>
  </w:abstractNum>
  <w:abstractNum w:abstractNumId="24">
    <w:lvl w:ilvl="0">
      <w:start w:val="1"/>
      <w:numFmt w:val="decimal"/>
      <w:lvlText w:val="%1."/>
      <w:lvlJc w:val="start"/>
      <w:pPr>
        <w:tabs>
          <w:tab w:val="num" w:pos="1080"/>
        </w:tabs>
        <w:ind w:start="1080" w:hanging="360"/>
      </w:pPr>
      <w:rPr/>
    </w:lvl>
  </w:abstractNum>
  <w:abstractNum w:abstractNumId="25">
    <w:lvl w:ilvl="0">
      <w:start w:val="1"/>
      <w:numFmt w:val="bullet"/>
      <w:lvlText w:val=""/>
      <w:lvlJc w:val="start"/>
      <w:pPr>
        <w:tabs>
          <w:tab w:val="num" w:pos="1440"/>
        </w:tabs>
        <w:ind w:start="1440" w:hanging="360"/>
      </w:pPr>
      <w:rPr>
        <w:rFonts w:ascii="Symbol" w:hAnsi="Symbol" w:cs="Symbol" w:hint="default"/>
      </w:rPr>
    </w:lvl>
  </w:abstractNum>
  <w:abstractNum w:abstractNumId="26">
    <w:lvl w:ilvl="0">
      <w:start w:val="1"/>
      <w:numFmt w:val="bullet"/>
      <w:lvlText w:val=""/>
      <w:lvlJc w:val="start"/>
      <w:pPr>
        <w:tabs>
          <w:tab w:val="num" w:pos="1500"/>
        </w:tabs>
        <w:ind w:start="1500" w:hanging="360"/>
      </w:pPr>
      <w:rPr>
        <w:rFonts w:ascii="Symbol" w:hAnsi="Symbol" w:cs="Symbol" w:hint="default"/>
      </w:rPr>
    </w:lvl>
  </w:abstractNum>
  <w:abstractNum w:abstractNumId="27">
    <w:lvl w:ilvl="0">
      <w:start w:val="1"/>
      <w:numFmt w:val="decimal"/>
      <w:lvlText w:val="%1."/>
      <w:lvlJc w:val="start"/>
      <w:pPr>
        <w:tabs>
          <w:tab w:val="num" w:pos="780"/>
        </w:tabs>
        <w:ind w:start="780" w:hanging="420"/>
      </w:pPr>
    </w:lvl>
  </w:abstractNum>
  <w:abstractNum w:abstractNumId="28">
    <w:lvl w:ilvl="0">
      <w:start w:val="1"/>
      <w:numFmt w:val="decimal"/>
      <w:lvlText w:val="%1."/>
      <w:lvlJc w:val="start"/>
      <w:pPr>
        <w:tabs>
          <w:tab w:val="num" w:pos="720"/>
        </w:tabs>
        <w:ind w:start="720" w:hanging="360"/>
      </w:pPr>
    </w:lvl>
  </w:abstractNum>
  <w:abstractNum w:abstractNumId="29">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0">
    <w:lvl w:ilvl="0">
      <w:start w:val="2"/>
      <w:numFmt w:val="upperLetter"/>
      <w:lvlText w:val="%1."/>
      <w:lvlJc w:val="start"/>
      <w:pPr>
        <w:tabs>
          <w:tab w:val="num" w:pos="1440"/>
        </w:tabs>
        <w:ind w:start="1440" w:hanging="720"/>
      </w:pPr>
      <w:rPr/>
    </w:lvl>
  </w:abstractNum>
  <w:abstractNum w:abstractNumId="31">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32">
    <w:lvl w:ilvl="0">
      <w:start w:val="1"/>
      <w:numFmt w:val="decimal"/>
      <w:lvlText w:val="%1."/>
      <w:lvlJc w:val="start"/>
      <w:pPr>
        <w:tabs>
          <w:tab w:val="num" w:pos="360"/>
        </w:tabs>
        <w:ind w:start="360" w:hanging="360"/>
      </w:pPr>
      <w:rPr/>
    </w:lvl>
  </w:abstractNum>
  <w:abstractNum w:abstractNumId="33">
    <w:lvl w:ilvl="0">
      <w:start w:val="1"/>
      <w:numFmt w:val="decimal"/>
      <w:lvlText w:val="%1."/>
      <w:lvlJc w:val="start"/>
      <w:pPr>
        <w:tabs>
          <w:tab w:val="num" w:pos="720"/>
        </w:tabs>
        <w:ind w:start="780" w:hanging="360"/>
      </w:pPr>
      <w:rPr/>
    </w:lvl>
    <w:lvl w:ilvl="1">
      <w:start w:val="1"/>
      <w:numFmt w:val="decimal"/>
      <w:lvlText w:val="%2."/>
      <w:lvlJc w:val="start"/>
      <w:pPr>
        <w:tabs>
          <w:tab w:val="num" w:pos="720"/>
        </w:tabs>
        <w:ind w:start="1500" w:hanging="360"/>
      </w:pPr>
      <w:rPr/>
    </w:lvl>
    <w:lvl w:ilvl="2">
      <w:start w:val="1"/>
      <w:numFmt w:val="lowerRoman"/>
      <w:lvlText w:val="%3."/>
      <w:lvlJc w:val="end"/>
      <w:pPr>
        <w:tabs>
          <w:tab w:val="num" w:pos="2220"/>
        </w:tabs>
        <w:ind w:start="2220" w:hanging="180"/>
      </w:pPr>
    </w:lvl>
    <w:lvl w:ilvl="3">
      <w:start w:val="1"/>
      <w:numFmt w:val="decimal"/>
      <w:lvlText w:val="%4."/>
      <w:lvlJc w:val="start"/>
      <w:pPr>
        <w:tabs>
          <w:tab w:val="num" w:pos="2940"/>
        </w:tabs>
        <w:ind w:start="2940" w:hanging="360"/>
      </w:pPr>
    </w:lvl>
    <w:lvl w:ilvl="4">
      <w:start w:val="1"/>
      <w:numFmt w:val="lowerLetter"/>
      <w:lvlText w:val="%5."/>
      <w:lvlJc w:val="start"/>
      <w:pPr>
        <w:tabs>
          <w:tab w:val="num" w:pos="3660"/>
        </w:tabs>
        <w:ind w:start="3660" w:hanging="360"/>
      </w:pPr>
    </w:lvl>
    <w:lvl w:ilvl="5">
      <w:start w:val="1"/>
      <w:numFmt w:val="lowerRoman"/>
      <w:lvlText w:val="%6."/>
      <w:lvlJc w:val="end"/>
      <w:pPr>
        <w:tabs>
          <w:tab w:val="num" w:pos="4380"/>
        </w:tabs>
        <w:ind w:start="4380" w:hanging="180"/>
      </w:pPr>
    </w:lvl>
    <w:lvl w:ilvl="6">
      <w:start w:val="1"/>
      <w:numFmt w:val="decimal"/>
      <w:lvlText w:val="%7."/>
      <w:lvlJc w:val="start"/>
      <w:pPr>
        <w:tabs>
          <w:tab w:val="num" w:pos="5100"/>
        </w:tabs>
        <w:ind w:start="5100" w:hanging="360"/>
      </w:pPr>
    </w:lvl>
    <w:lvl w:ilvl="7">
      <w:start w:val="1"/>
      <w:numFmt w:val="lowerLetter"/>
      <w:lvlText w:val="%8."/>
      <w:lvlJc w:val="start"/>
      <w:pPr>
        <w:tabs>
          <w:tab w:val="num" w:pos="5820"/>
        </w:tabs>
        <w:ind w:start="5820" w:hanging="360"/>
      </w:pPr>
    </w:lvl>
    <w:lvl w:ilvl="8">
      <w:start w:val="1"/>
      <w:numFmt w:val="lowerRoman"/>
      <w:lvlText w:val="%9."/>
      <w:lvlJc w:val="end"/>
      <w:pPr>
        <w:tabs>
          <w:tab w:val="num" w:pos="6540"/>
        </w:tabs>
        <w:ind w:start="6540" w:hanging="180"/>
      </w:pPr>
    </w:lvl>
  </w:abstractNum>
  <w:abstractNum w:abstractNumId="34">
    <w:lvl w:ilvl="0">
      <w:start w:val="1"/>
      <w:numFmt w:val="upperRoman"/>
      <w:lvlText w:val="%1."/>
      <w:lvlJc w:val="start"/>
      <w:pPr>
        <w:tabs>
          <w:tab w:val="num" w:pos="720"/>
        </w:tabs>
        <w:ind w:start="720" w:hanging="720"/>
      </w:pPr>
      <w:rPr/>
    </w:lvl>
  </w:abstractNum>
  <w:abstractNum w:abstractNumId="35">
    <w:lvl w:ilvl="0">
      <w:start w:val="1"/>
      <w:numFmt w:val="bullet"/>
      <w:lvlText w:val=""/>
      <w:lvlJc w:val="start"/>
      <w:pPr>
        <w:tabs>
          <w:tab w:val="num" w:pos="360"/>
        </w:tabs>
        <w:ind w:start="1080" w:hanging="360"/>
      </w:pPr>
      <w:rPr>
        <w:rFonts w:ascii="Symbol" w:hAnsi="Symbol" w:cs="Symbol" w:hint="default"/>
      </w:rPr>
    </w:lvl>
  </w:abstractNum>
  <w:abstractNum w:abstractNumId="36">
    <w:lvl w:ilvl="0">
      <w:numFmt w:val="bullet"/>
      <w:lvlText w:val=""/>
      <w:lvlJc w:val="start"/>
      <w:pPr>
        <w:tabs>
          <w:tab w:val="num" w:pos="360"/>
        </w:tabs>
        <w:ind w:start="1080" w:hanging="360"/>
      </w:pPr>
      <w:rPr>
        <w:rFonts w:ascii="Symbol" w:hAnsi="Symbol" w:cs="Symbol" w:hint="default"/>
      </w:rPr>
    </w:lvl>
  </w:abstractNum>
  <w:abstractNum w:abstractNumId="37">
    <w:lvl w:ilvl="0">
      <w:start w:val="1"/>
      <w:numFmt w:val="decimal"/>
      <w:lvlText w:val="%1."/>
      <w:lvlJc w:val="start"/>
      <w:pPr>
        <w:tabs>
          <w:tab w:val="num" w:pos="720"/>
        </w:tabs>
        <w:ind w:start="720" w:hanging="360"/>
      </w:pPr>
    </w:lvl>
    <w:lvl w:ilvl="1">
      <w:start w:val="1"/>
      <w:numFmt w:val="lowerRoman"/>
      <w:lvlText w:val="(%2)"/>
      <w:lvlJc w:val="start"/>
      <w:pPr>
        <w:tabs>
          <w:tab w:val="num" w:pos="1800"/>
        </w:tabs>
        <w:ind w:start="1800" w:hanging="72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38">
    <w:lvl w:ilvl="0">
      <w:start w:val="1"/>
      <w:numFmt w:val="decimal"/>
      <w:lvlText w:val="%1."/>
      <w:lvlJc w:val="start"/>
      <w:pPr>
        <w:tabs>
          <w:tab w:val="num" w:pos="780"/>
        </w:tabs>
        <w:ind w:start="780" w:hanging="42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15"/>
    <w:lvlOverride w:ilvl="0">
      <w:startOverride w:val="1"/>
    </w:lvlOverride>
  </w:num>
  <w:num w:numId="40">
    <w:abstractNumId w:val="27"/>
    <w:lvlOverride w:ilvl="0">
      <w:startOverride w:val="1"/>
    </w:lvlOverride>
  </w:num>
  <w:num w:numId="41">
    <w:abstractNumId w:val="19"/>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widowControl/>
      <w:numPr>
        <w:ilvl w:val="8"/>
        <w:numId w:val="1"/>
      </w:numPr>
      <w:spacing w:lineRule="atLeast" w:line="240"/>
      <w:ind w:firstLine="720" w:start="0" w:end="0"/>
      <w:outlineLvl w:val="8"/>
    </w:pPr>
    <w:rPr>
      <w:rFonts w:ascii="Times New Roman" w:hAnsi="Times New Roman" w:cs="Times New Roman"/>
      <w:color w:val="000000"/>
      <w:sz w:val="24"/>
      <w:u w:val="singl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3z0">
    <w:name w:val="WW8Num33z0"/>
    <w:qFormat/>
    <w:rPr/>
  </w:style>
  <w:style w:type="character" w:styleId="WW8Num34z0">
    <w:name w:val="WW8Num34z0"/>
    <w:qFormat/>
    <w:rPr>
      <w:rFonts w:ascii="Symbol" w:hAnsi="Symbol" w:cs="Symbol"/>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5z0">
    <w:name w:val="WW8Num45z0"/>
    <w:qFormat/>
    <w:rPr/>
  </w:style>
  <w:style w:type="character" w:styleId="WW8Num46z0">
    <w:name w:val="WW8Num46z0"/>
    <w:qFormat/>
    <w:rPr/>
  </w:style>
  <w:style w:type="character" w:styleId="WW8Num48z0">
    <w:name w:val="WW8Num48z0"/>
    <w:qFormat/>
    <w:rPr>
      <w:rFonts w:ascii="Symbol" w:hAnsi="Symbol" w:cs="Symbol"/>
    </w:rPr>
  </w:style>
  <w:style w:type="character" w:styleId="WW8Num49z0">
    <w:name w:val="WW8Num49z0"/>
    <w:qFormat/>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Times New Roman" w:hAnsi="Times New Roman" w:eastAsia="Times New Roman" w:cs="Times New Roman"/>
      <w:i/>
    </w:rPr>
  </w:style>
  <w:style w:type="character" w:styleId="WW8Num53z2">
    <w:name w:val="WW8Num53z2"/>
    <w:qFormat/>
    <w:rPr>
      <w:rFonts w:ascii="Wingdings" w:hAnsi="Wingdings" w:cs="Wingdings"/>
    </w:rPr>
  </w:style>
  <w:style w:type="character" w:styleId="WW8Num53z4">
    <w:name w:val="WW8Num53z4"/>
    <w:qFormat/>
    <w:rPr>
      <w:rFonts w:ascii="Courier New" w:hAnsi="Courier New" w:cs="Courier New"/>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8z0">
    <w:name w:val="WW8Num58z0"/>
    <w:qFormat/>
    <w:rPr/>
  </w:style>
  <w:style w:type="character" w:styleId="WW8Num59z0">
    <w:name w:val="WW8Num59z0"/>
    <w:qFormat/>
    <w:rPr/>
  </w:style>
  <w:style w:type="character" w:styleId="WW8Num65z0">
    <w:name w:val="WW8Num65z0"/>
    <w:qFormat/>
    <w:rPr/>
  </w:style>
  <w:style w:type="character" w:styleId="WW8Num67z1">
    <w:name w:val="WW8Num67z1"/>
    <w:qFormat/>
    <w:rPr>
      <w:rFonts w:ascii="Symbol" w:hAnsi="Symbol" w:cs="Symbol"/>
    </w:rPr>
  </w:style>
  <w:style w:type="character" w:styleId="WW8Num71z0">
    <w:name w:val="WW8Num71z0"/>
    <w:qFormat/>
    <w:rPr>
      <w:rFonts w:ascii="Tms Rmn;Times New Roman" w:hAnsi="Tms Rmn;Times New Roman" w:cs="Tms Rmn;Times New Roman"/>
    </w:rPr>
  </w:style>
  <w:style w:type="character" w:styleId="WW8Num74z0">
    <w:name w:val="WW8Num74z0"/>
    <w:qFormat/>
    <w:rPr>
      <w:u w:val="none"/>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4z0">
    <w:name w:val="WW8Num84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5z0">
    <w:name w:val="WW8Num95z0"/>
    <w:qFormat/>
    <w:rPr/>
  </w:style>
  <w:style w:type="character" w:styleId="WW8Num99z0">
    <w:name w:val="WW8Num99z0"/>
    <w:qFormat/>
    <w:rPr/>
  </w:style>
  <w:style w:type="character" w:styleId="WW8Num99z1">
    <w:name w:val="WW8Num99z1"/>
    <w:qFormat/>
    <w:rPr>
      <w:rFonts w:ascii="Times New Roman" w:hAnsi="Times New Roman" w:eastAsia="Times New Roman" w:cs="Times New Roman"/>
    </w:rPr>
  </w:style>
  <w:style w:type="character" w:styleId="WW8Num100z0">
    <w:name w:val="WW8Num100z0"/>
    <w:qFormat/>
    <w:rPr/>
  </w:style>
  <w:style w:type="character" w:styleId="WW8Num101z1">
    <w:name w:val="WW8Num101z1"/>
    <w:qFormat/>
    <w:rPr>
      <w:rFonts w:ascii="Symbol" w:hAnsi="Symbol" w:cs="Symbol"/>
    </w:rPr>
  </w:style>
  <w:style w:type="character" w:styleId="WW8Num103z0">
    <w:name w:val="WW8Num103z0"/>
    <w:qFormat/>
    <w:rPr>
      <w:rFonts w:ascii="Times New Roman" w:hAnsi="Times New Roman" w:eastAsia="Times New Roman" w:cs="Times New Roman"/>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3z0">
    <w:name w:val="WW8Num113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2001-02-21T22:25:00Z</dcterms:created>
  <dc:creator>kyoung</dc:creator>
  <dc:description/>
  <dc:language>en-CA</dc:language>
  <cp:lastModifiedBy>jelbert</cp:lastModifiedBy>
  <cp:lastPrinted>2001-02-22T10:34:00Z</cp:lastPrinted>
  <dcterms:modified xsi:type="dcterms:W3CDTF">2001-02-22T14:05:00Z</dcterms:modified>
  <cp:revision>19</cp:revision>
  <dc:subject/>
  <dc:title>MEMO FORM</dc:title>
</cp:coreProperties>
</file>