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44" w:leader="none"/>
          <w:tab w:val="left" w:pos="5106" w:leader="none"/>
          <w:tab w:val="left" w:pos="7254" w:leader="none"/>
        </w:tabs>
        <w:jc w:val="center"/>
        <w:rPr>
          <w:rFonts w:ascii="Times New Roman" w:hAnsi="Times New Roman" w:cs="Times New Roman"/>
          <w:b/>
          <w:sz w:val="24"/>
        </w:rPr>
      </w:pPr>
      <w:r>
        <w:rPr>
          <w:rFonts w:cs="Times New Roman" w:ascii="Times New Roman" w:hAnsi="Times New Roman"/>
          <w:b/>
          <w:sz w:val="24"/>
        </w:rPr>
        <w:t>Enron Wholesale Services - Legal Department</w:t>
      </w:r>
    </w:p>
    <w:p>
      <w:pPr>
        <w:pStyle w:val="Heading3"/>
        <w:ind w:hanging="0" w:start="0"/>
        <w:rPr/>
      </w:pPr>
      <w:r>
        <w:rPr/>
        <w:t>Monthly Report</w:t>
      </w:r>
    </w:p>
    <w:p>
      <w:pPr>
        <w:pStyle w:val="Heading3"/>
        <w:ind w:hanging="0" w:start="0"/>
        <w:rPr/>
      </w:pPr>
      <w:r>
        <w:rPr/>
        <w:t>December 2000</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22"/>
        </w:rPr>
      </w:pPr>
      <w:r>
        <w:rPr>
          <w:rFonts w:cs="Times New Roman" w:ascii="Times New Roman" w:hAnsi="Times New Roman"/>
          <w:sz w:val="22"/>
        </w:rPr>
      </w:r>
    </w:p>
    <w:p>
      <w:pPr>
        <w:pStyle w:val="Heading3"/>
        <w:ind w:hanging="0" w:start="0"/>
        <w:rPr/>
      </w:pPr>
      <w:r>
        <w:rPr/>
        <w:t>Significant Transactions/Matters</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18"/>
        </w:rPr>
      </w:pPr>
      <w:r>
        <w:rPr>
          <w:rFonts w:cs="Times New Roman" w:ascii="Times New Roman" w:hAnsi="Times New Roman"/>
          <w:sz w:val="18"/>
        </w:rPr>
      </w:r>
    </w:p>
    <w:p>
      <w:pPr>
        <w:pStyle w:val="Normal"/>
        <w:widowControl/>
        <w:tabs>
          <w:tab w:val="clear" w:pos="720"/>
          <w:tab w:val="left" w:pos="1344" w:leader="none"/>
          <w:tab w:val="left" w:pos="5106" w:leader="none"/>
          <w:tab w:val="left" w:pos="7254" w:leader="none"/>
          <w:tab w:val="left" w:pos="10080" w:leader="none"/>
        </w:tabs>
        <w:ind w:end="-306"/>
        <w:jc w:val="both"/>
        <w:rPr/>
      </w:pPr>
      <w:r>
        <w:rPr>
          <w:sz w:val="16"/>
        </w:rPr>
        <w:t xml:space="preserve">This report summarizes current significant legal </w:t>
      </w:r>
      <w:r>
        <w:rPr>
          <w:rFonts w:cs="Times New Roman" w:ascii="Times New Roman" w:hAnsi="Times New Roman"/>
          <w:sz w:val="16"/>
        </w:rPr>
        <w:t>activities</w:t>
      </w:r>
      <w:r>
        <w:rPr>
          <w:sz w:val="16"/>
        </w:rPr>
        <w:t xml:space="preserve"> of ENA as of December 15, 2000.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TRADING</w:t>
      </w:r>
    </w:p>
    <w:p>
      <w:pPr>
        <w:pStyle w:val="Heading5"/>
        <w:keepNext w:val="false"/>
        <w:ind w:hanging="0" w:start="0"/>
        <w:rPr/>
      </w:pPr>
      <w:r>
        <w:rPr>
          <w:u w:val="none"/>
        </w:rPr>
        <w:tab/>
      </w:r>
      <w:r>
        <w:rPr/>
        <w:t>Houston</w:t>
      </w:r>
    </w:p>
    <w:p>
      <w:pPr>
        <w:pStyle w:val="Normal"/>
        <w:numPr>
          <w:ilvl w:val="0"/>
          <w:numId w:val="6"/>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Power Contract Revision Project</w:t>
      </w:r>
    </w:p>
    <w:p>
      <w:pPr>
        <w:pStyle w:val="Normal"/>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Kevin Presto/Elizabeth Sager</w:t>
      </w:r>
    </w:p>
    <w:p>
      <w:pPr>
        <w:pStyle w:val="Normal"/>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EPMI reviewing certain high exposure power contracts for revision and conversion to EEI</w:t>
      </w:r>
    </w:p>
    <w:p>
      <w:pPr>
        <w:pStyle w:val="Normal"/>
        <w:numPr>
          <w:ilvl w:val="0"/>
          <w:numId w:val="6"/>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Gas Contract Revision Project</w:t>
      </w:r>
    </w:p>
    <w:p>
      <w:pPr>
        <w:pStyle w:val="Normal"/>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 xml:space="preserve">Brent Price/Jeff Hodge/Stacy Dickson </w:t>
      </w:r>
    </w:p>
    <w:p>
      <w:pPr>
        <w:pStyle w:val="Normal"/>
        <w:tabs>
          <w:tab w:val="clear" w:pos="720"/>
          <w:tab w:val="left" w:pos="1260" w:leader="none"/>
          <w:tab w:val="left" w:pos="1440" w:leader="none"/>
        </w:tabs>
        <w:ind w:start="1080" w:end="0"/>
        <w:jc w:val="both"/>
        <w:rPr>
          <w:rFonts w:ascii="Times New Roman" w:hAnsi="Times New Roman" w:cs="Times New Roman"/>
        </w:rPr>
      </w:pPr>
      <w:r>
        <w:rPr>
          <w:rFonts w:cs="Times New Roman" w:ascii="Times New Roman" w:hAnsi="Times New Roman"/>
        </w:rPr>
        <w:t>-</w:t>
        <w:tab/>
        <w:t>Update:</w:t>
        <w:tab/>
        <w:t>ENA reviewing certain high volume trading contracts for possible revision</w:t>
      </w:r>
    </w:p>
    <w:p>
      <w:pPr>
        <w:pStyle w:val="Normal"/>
        <w:numPr>
          <w:ilvl w:val="0"/>
          <w:numId w:val="6"/>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Duke Energy LNG Sales, Inc.</w:t>
      </w:r>
    </w:p>
    <w:p>
      <w:pPr>
        <w:pStyle w:val="Normal"/>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Janet Dietrich/Jeff Hodge/Richard Sanders (Susman &amp; Godfrey)</w:t>
      </w:r>
    </w:p>
    <w:p>
      <w:pPr>
        <w:pStyle w:val="Normal"/>
        <w:tabs>
          <w:tab w:val="clear" w:pos="720"/>
          <w:tab w:val="left" w:pos="1260" w:leader="none"/>
          <w:tab w:val="left" w:pos="1440" w:leader="none"/>
        </w:tabs>
        <w:ind w:start="1080" w:end="0"/>
        <w:jc w:val="both"/>
        <w:rPr>
          <w:rFonts w:ascii="Times New Roman" w:hAnsi="Times New Roman" w:cs="Times New Roman"/>
        </w:rPr>
      </w:pPr>
      <w:r>
        <w:rPr>
          <w:rFonts w:cs="Times New Roman" w:ascii="Times New Roman" w:hAnsi="Times New Roman"/>
        </w:rPr>
        <w:t>-</w:t>
        <w:tab/>
        <w:t>Update:</w:t>
        <w:tab/>
        <w:t>Contract negotiation regarding revising a long-term gas contract</w:t>
      </w:r>
    </w:p>
    <w:p>
      <w:pPr>
        <w:pStyle w:val="Normal"/>
        <w:numPr>
          <w:ilvl w:val="0"/>
          <w:numId w:val="6"/>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Enron Wind/Indian Mesa</w:t>
      </w:r>
    </w:p>
    <w:p>
      <w:pPr>
        <w:pStyle w:val="Normal"/>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Mike Curry/David Portz</w:t>
      </w:r>
    </w:p>
    <w:p>
      <w:pPr>
        <w:pStyle w:val="Normal"/>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EPMI negotiating with Indian Mesa, a wholly owned subsidiary of Enron Wind, for a 20-year deal involving the purchase of up to 494,000 MWh per year from a wind facility to be constructed in Pecos County, Texas; transaction  subject to Enron Board approval</w:t>
      </w:r>
    </w:p>
    <w:p>
      <w:pPr>
        <w:pStyle w:val="Normal"/>
        <w:numPr>
          <w:ilvl w:val="0"/>
          <w:numId w:val="6"/>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Dominion Nuclear</w:t>
      </w:r>
    </w:p>
    <w:p>
      <w:pPr>
        <w:pStyle w:val="Normal"/>
        <w:numPr>
          <w:ilvl w:val="0"/>
          <w:numId w:val="21"/>
        </w:numPr>
        <w:tabs>
          <w:tab w:val="clear" w:pos="720"/>
          <w:tab w:val="left" w:pos="1260" w:leader="none"/>
        </w:tabs>
        <w:jc w:val="both"/>
        <w:rPr>
          <w:rFonts w:ascii="Times New Roman" w:hAnsi="Times New Roman" w:cs="Times New Roman"/>
        </w:rPr>
      </w:pPr>
      <w:r>
        <w:rPr>
          <w:rFonts w:cs="Times New Roman" w:ascii="Times New Roman" w:hAnsi="Times New Roman"/>
        </w:rPr>
        <w:t>Janice Moore/Elizabeth Sager</w:t>
      </w:r>
    </w:p>
    <w:p>
      <w:pPr>
        <w:pStyle w:val="Normal"/>
        <w:numPr>
          <w:ilvl w:val="0"/>
          <w:numId w:val="21"/>
        </w:numPr>
        <w:tabs>
          <w:tab w:val="clear" w:pos="720"/>
          <w:tab w:val="left" w:pos="1260" w:leader="none"/>
          <w:tab w:val="left" w:pos="2160" w:leader="none"/>
        </w:tabs>
        <w:ind w:hanging="1080" w:start="2160" w:end="0"/>
        <w:jc w:val="both"/>
        <w:rPr>
          <w:rFonts w:ascii="Times New Roman" w:hAnsi="Times New Roman" w:cs="Times New Roman"/>
        </w:rPr>
      </w:pPr>
      <w:r>
        <w:rPr>
          <w:rFonts w:cs="Times New Roman" w:ascii="Times New Roman" w:hAnsi="Times New Roman"/>
        </w:rPr>
        <w:t>Update:</w:t>
        <w:tab/>
        <w:t>EPMI negotiating with Dominion to purchase approximately 300 MW per hour unit contingent nuclear energy in NEPOOL from Dominion for up to 10 years</w:t>
      </w:r>
    </w:p>
    <w:p>
      <w:pPr>
        <w:pStyle w:val="Normal"/>
        <w:numPr>
          <w:ilvl w:val="0"/>
          <w:numId w:val="6"/>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New Albany Tolling/PSEG</w:t>
      </w:r>
    </w:p>
    <w:p>
      <w:pPr>
        <w:pStyle w:val="Normal"/>
        <w:numPr>
          <w:ilvl w:val="0"/>
          <w:numId w:val="21"/>
        </w:numPr>
        <w:tabs>
          <w:tab w:val="clear" w:pos="720"/>
          <w:tab w:val="left" w:pos="1260" w:leader="none"/>
        </w:tabs>
        <w:jc w:val="both"/>
        <w:rPr>
          <w:rFonts w:ascii="Times New Roman" w:hAnsi="Times New Roman" w:cs="Times New Roman"/>
        </w:rPr>
      </w:pPr>
      <w:r>
        <w:rPr>
          <w:rFonts w:cs="Times New Roman" w:ascii="Times New Roman" w:hAnsi="Times New Roman"/>
        </w:rPr>
        <w:t>Janice Moore/Elizabeth Sager</w:t>
      </w:r>
    </w:p>
    <w:p>
      <w:pPr>
        <w:pStyle w:val="Normal"/>
        <w:numPr>
          <w:ilvl w:val="0"/>
          <w:numId w:val="21"/>
        </w:numPr>
        <w:tabs>
          <w:tab w:val="clear" w:pos="720"/>
          <w:tab w:val="left" w:pos="1260" w:leader="none"/>
          <w:tab w:val="left" w:pos="2160" w:leader="none"/>
        </w:tabs>
        <w:ind w:hanging="1080" w:start="2160" w:end="0"/>
        <w:jc w:val="both"/>
        <w:rPr>
          <w:rFonts w:ascii="Times New Roman" w:hAnsi="Times New Roman" w:cs="Times New Roman"/>
        </w:rPr>
      </w:pPr>
      <w:r>
        <w:rPr>
          <w:rFonts w:cs="Times New Roman" w:ascii="Times New Roman" w:hAnsi="Times New Roman"/>
        </w:rPr>
        <w:t>Update:</w:t>
        <w:tab/>
        <w:t>EPMI negotiating a one-year tolling deal with PSEG involving 260 MW from the New Albany facility</w:t>
      </w:r>
    </w:p>
    <w:p>
      <w:pPr>
        <w:pStyle w:val="Normal"/>
        <w:numPr>
          <w:ilvl w:val="0"/>
          <w:numId w:val="6"/>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Wisvest</w:t>
      </w:r>
    </w:p>
    <w:p>
      <w:pPr>
        <w:pStyle w:val="Normal"/>
        <w:numPr>
          <w:ilvl w:val="0"/>
          <w:numId w:val="21"/>
        </w:numPr>
        <w:tabs>
          <w:tab w:val="clear" w:pos="720"/>
          <w:tab w:val="left" w:pos="1260" w:leader="none"/>
        </w:tabs>
        <w:jc w:val="both"/>
        <w:rPr>
          <w:rFonts w:ascii="Times New Roman" w:hAnsi="Times New Roman" w:cs="Times New Roman"/>
        </w:rPr>
      </w:pPr>
      <w:r>
        <w:rPr>
          <w:rFonts w:cs="Times New Roman" w:ascii="Times New Roman" w:hAnsi="Times New Roman"/>
        </w:rPr>
        <w:t>Janice Moore</w:t>
      </w:r>
    </w:p>
    <w:p>
      <w:pPr>
        <w:pStyle w:val="Normal"/>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EPMI considering submitting a bid to supply 11.5% of Wisvest's load in NEPOOL (up to 500 MW hourly maximum) for 2½ years</w:t>
      </w:r>
    </w:p>
    <w:p>
      <w:pPr>
        <w:pStyle w:val="Heading5"/>
        <w:keepNext w:val="false"/>
        <w:spacing w:before="120" w:after="0"/>
        <w:ind w:hanging="0" w:start="0"/>
        <w:rPr/>
      </w:pPr>
      <w:r>
        <w:rPr>
          <w:u w:val="none"/>
        </w:rPr>
        <w:tab/>
      </w:r>
      <w:r>
        <w:rPr/>
        <w:t>Financial</w:t>
      </w:r>
    </w:p>
    <w:p>
      <w:pPr>
        <w:pStyle w:val="Normal"/>
        <w:numPr>
          <w:ilvl w:val="0"/>
          <w:numId w:val="20"/>
        </w:numPr>
        <w:tabs>
          <w:tab w:val="clear" w:pos="720"/>
        </w:tabs>
        <w:spacing w:before="120" w:after="0"/>
        <w:ind w:hanging="360" w:start="1080" w:end="0"/>
        <w:rPr>
          <w:rFonts w:ascii="Times New Roman" w:hAnsi="Times New Roman" w:cs="Times New Roman"/>
        </w:rPr>
      </w:pPr>
      <w:r>
        <w:rPr>
          <w:rFonts w:cs="Times New Roman" w:ascii="Times New Roman" w:hAnsi="Times New Roman"/>
        </w:rPr>
        <w:t>Agricultural Commodities Trading</w:t>
      </w:r>
    </w:p>
    <w:p>
      <w:pPr>
        <w:pStyle w:val="Normal"/>
        <w:tabs>
          <w:tab w:val="clear" w:pos="720"/>
          <w:tab w:val="left" w:pos="1260" w:leader="none"/>
        </w:tabs>
        <w:ind w:hanging="540" w:start="1620" w:end="0"/>
        <w:rPr>
          <w:rFonts w:ascii="Times New Roman" w:hAnsi="Times New Roman" w:cs="Times New Roman"/>
        </w:rPr>
      </w:pPr>
      <w:r>
        <w:rPr>
          <w:rFonts w:cs="Times New Roman" w:ascii="Times New Roman" w:hAnsi="Times New Roman"/>
        </w:rPr>
        <w:t>-</w:t>
        <w:tab/>
        <w:t>Gary Hickerson/Sara Shackleton/Robert Bruce</w:t>
      </w:r>
    </w:p>
    <w:p>
      <w:pPr>
        <w:pStyle w:val="EndnoteText"/>
        <w:numPr>
          <w:ilvl w:val="1"/>
          <w:numId w:val="20"/>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Continuing research and client education regarding physical and financial trading of agricultural commodities</w:t>
      </w:r>
    </w:p>
    <w:p>
      <w:pPr>
        <w:pStyle w:val="Normal"/>
        <w:numPr>
          <w:ilvl w:val="0"/>
          <w:numId w:val="2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Enron Corp. ISDA Master Agreements</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Clint Freel/Sara Shackleton</w:t>
      </w:r>
    </w:p>
    <w:p>
      <w:pPr>
        <w:pStyle w:val="EndnoteText"/>
        <w:numPr>
          <w:ilvl w:val="1"/>
          <w:numId w:val="2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Negotiation of ISDA Master Agreements with several counterparties to cover hedge transactions on Enron Corp. stock</w:t>
      </w:r>
    </w:p>
    <w:p>
      <w:pPr>
        <w:pStyle w:val="Normal"/>
        <w:numPr>
          <w:ilvl w:val="0"/>
          <w:numId w:val="2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Commodity Exchange Act/CFTC</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John Lavorato/Mark Haedicke/Mark Taylor (Sullivan &amp; Cromwell)</w:t>
      </w:r>
    </w:p>
    <w:p>
      <w:pPr>
        <w:pStyle w:val="EndnoteText"/>
        <w:numPr>
          <w:ilvl w:val="1"/>
          <w:numId w:val="2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Monitoring legislative developments and lobbying in connection with proposed revision of the Commodity Exchange Act.  Review and analysis of revised CFTC regulations</w:t>
      </w:r>
      <w:r>
        <w:br w:type="page"/>
      </w:r>
    </w:p>
    <w:p>
      <w:pPr>
        <w:pStyle w:val="EndnoteText"/>
        <w:tabs>
          <w:tab w:val="clear" w:pos="720"/>
          <w:tab w:val="left" w:pos="1260" w:leader="none"/>
        </w:tabs>
        <w:ind w:start="1080" w:end="0"/>
        <w:jc w:val="both"/>
        <w:rPr>
          <w:rFonts w:ascii="Times New Roman" w:hAnsi="Times New Roman" w:cs="Times New Roman"/>
        </w:rPr>
      </w:pPr>
      <w:r>
        <w:rPr>
          <w:rFonts w:cs="Times New Roman" w:ascii="Times New Roman" w:hAnsi="Times New Roman"/>
        </w:rPr>
      </w:r>
    </w:p>
    <w:p>
      <w:pPr>
        <w:pStyle w:val="Normal"/>
        <w:numPr>
          <w:ilvl w:val="0"/>
          <w:numId w:val="2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NYMEX Margin Issues</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John Lavorato/Mary Cook/Mark Taylor</w:t>
      </w:r>
    </w:p>
    <w:p>
      <w:pPr>
        <w:pStyle w:val="EndnoteText"/>
        <w:numPr>
          <w:ilvl w:val="1"/>
          <w:numId w:val="2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Research and negotiations with various clearing brokers regarding form and amount of required margin</w:t>
      </w:r>
    </w:p>
    <w:p>
      <w:pPr>
        <w:pStyle w:val="Normal"/>
        <w:numPr>
          <w:ilvl w:val="0"/>
          <w:numId w:val="2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 xml:space="preserve">Trade Credit Exposure </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Bill Bradford/Sara Shackleton/Mary Cook (Cadwalder, Wickersham &amp;Taft)</w:t>
      </w:r>
    </w:p>
    <w:p>
      <w:pPr>
        <w:pStyle w:val="EndnoteText"/>
        <w:numPr>
          <w:ilvl w:val="1"/>
          <w:numId w:val="2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 xml:space="preserve">Research regarding various methods available to minimize credit exposure and margin calls including cross-product, cross-entity and triangular netting and set-off arrangements </w:t>
      </w:r>
    </w:p>
    <w:p>
      <w:pPr>
        <w:pStyle w:val="Heading5"/>
        <w:keepNext w:val="false"/>
        <w:spacing w:before="120" w:after="0"/>
        <w:ind w:hanging="0" w:start="0"/>
        <w:jc w:val="both"/>
        <w:rPr/>
      </w:pPr>
      <w:r>
        <w:rPr>
          <w:u w:val="none"/>
        </w:rPr>
        <w:tab/>
      </w:r>
      <w:r>
        <w:rPr/>
        <w:t>Portland</w:t>
      </w:r>
    </w:p>
    <w:p>
      <w:pPr>
        <w:pStyle w:val="Normal"/>
        <w:numPr>
          <w:ilvl w:val="0"/>
          <w:numId w:val="9"/>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City of Vernon</w:t>
      </w:r>
    </w:p>
    <w:p>
      <w:pPr>
        <w:pStyle w:val="Normal"/>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Yoder/Elizabeth Sager/Richard Sanders</w:t>
      </w:r>
    </w:p>
    <w:p>
      <w:pPr>
        <w:pStyle w:val="EndnoteText"/>
        <w:numPr>
          <w:ilvl w:val="1"/>
          <w:numId w:val="2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City of Vernon refused to honor a 10-year trade entered into with EPMI claiming the transaction was unauthorized.  EPMI is investigating its legal options.</w:t>
      </w:r>
    </w:p>
    <w:p>
      <w:pPr>
        <w:pStyle w:val="Normal"/>
        <w:numPr>
          <w:ilvl w:val="0"/>
          <w:numId w:val="9"/>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BPA</w:t>
      </w:r>
    </w:p>
    <w:p>
      <w:pPr>
        <w:pStyle w:val="Normal"/>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Yoder//Richard Sanders</w:t>
      </w:r>
    </w:p>
    <w:p>
      <w:pPr>
        <w:pStyle w:val="EndnoteText"/>
        <w:numPr>
          <w:ilvl w:val="1"/>
          <w:numId w:val="2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BPA has indicated that it may not perform on a long-term contract it entered into with EPMI in 1997.  BPA claims the contract was contingent on EPMI serving Fort James (James River), which contract with Fort James has been terminated; received letter from Clatskanie that supports our position.</w:t>
      </w:r>
    </w:p>
    <w:p>
      <w:pPr>
        <w:pStyle w:val="Normal"/>
        <w:numPr>
          <w:ilvl w:val="0"/>
          <w:numId w:val="9"/>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California Activities</w:t>
      </w:r>
    </w:p>
    <w:p>
      <w:pPr>
        <w:pStyle w:val="Normal"/>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Yoder/Steve Hall</w:t>
      </w:r>
    </w:p>
    <w:p>
      <w:pPr>
        <w:pStyle w:val="EndnoteText"/>
        <w:numPr>
          <w:ilvl w:val="1"/>
          <w:numId w:val="2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Working to review/assess trading activities in California and to minimize exposures with California counterparties</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NET WORKS</w:t>
      </w:r>
    </w:p>
    <w:p>
      <w:pPr>
        <w:pStyle w:val="Normal"/>
        <w:widowControl/>
        <w:numPr>
          <w:ilvl w:val="0"/>
          <w:numId w:val="13"/>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Commodity Logic</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Tom Gros/Alan Aronowitz/Mark Greenberg/Mark Taylor</w:t>
      </w:r>
    </w:p>
    <w:p>
      <w:pPr>
        <w:pStyle w:val="EndnoteText"/>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Preparation of agreements for various phases of an internet platform providing back office services to users</w:t>
      </w:r>
    </w:p>
    <w:p>
      <w:pPr>
        <w:pStyle w:val="Normal"/>
        <w:widowControl/>
        <w:numPr>
          <w:ilvl w:val="0"/>
          <w:numId w:val="13"/>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EnronOnline – North America</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Louise Kitchen/Mark Taylor/Leslie Hansen (Milbank Tweed Hadley &amp; McCloy)</w:t>
      </w:r>
    </w:p>
    <w:p>
      <w:pPr>
        <w:pStyle w:val="EndnoteText"/>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Preparation of agreements for broker access and posting products offered by non-Enron parties.  Negotiating exceptions to standard online forms and approving language and documentation for new products</w:t>
      </w:r>
    </w:p>
    <w:p>
      <w:pPr>
        <w:pStyle w:val="Normal"/>
        <w:widowControl/>
        <w:numPr>
          <w:ilvl w:val="0"/>
          <w:numId w:val="13"/>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Clickpaper</w:t>
      </w:r>
    </w:p>
    <w:p>
      <w:pPr>
        <w:pStyle w:val="Normal"/>
        <w:numPr>
          <w:ilvl w:val="1"/>
          <w:numId w:val="20"/>
        </w:numPr>
        <w:tabs>
          <w:tab w:val="clear" w:pos="720"/>
          <w:tab w:val="left" w:pos="1260" w:leader="none"/>
        </w:tabs>
        <w:rPr>
          <w:rFonts w:ascii="Times New Roman" w:hAnsi="Times New Roman" w:cs="Times New Roman"/>
        </w:rPr>
      </w:pPr>
      <w:r>
        <w:rPr>
          <w:rFonts w:cs="Times New Roman" w:ascii="Times New Roman" w:hAnsi="Times New Roman"/>
        </w:rPr>
        <w:t>Greg Piper/Travis McCullough/Harry Collins/Justin Boyd</w:t>
      </w:r>
    </w:p>
    <w:p>
      <w:pPr>
        <w:pStyle w:val="EndnoteText"/>
        <w:numPr>
          <w:ilvl w:val="1"/>
          <w:numId w:val="20"/>
        </w:numPr>
        <w:tabs>
          <w:tab w:val="clear" w:pos="720"/>
          <w:tab w:val="left" w:pos="1260" w:leader="none"/>
        </w:tabs>
        <w:rPr>
          <w:rFonts w:ascii="Times New Roman" w:hAnsi="Times New Roman" w:cs="Times New Roman"/>
        </w:rPr>
      </w:pPr>
      <w:r>
        <w:rPr>
          <w:rFonts w:cs="Times New Roman" w:ascii="Times New Roman" w:hAnsi="Times New Roman"/>
        </w:rPr>
        <w:t>Update:</w:t>
        <w:tab/>
        <w:t>Expansion of access to paper trading system into Europe</w:t>
      </w:r>
    </w:p>
    <w:p>
      <w:pPr>
        <w:pStyle w:val="Normal"/>
        <w:widowControl/>
        <w:numPr>
          <w:ilvl w:val="0"/>
          <w:numId w:val="13"/>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Equity Investments</w:t>
      </w:r>
    </w:p>
    <w:p>
      <w:pPr>
        <w:pStyle w:val="Normal"/>
        <w:numPr>
          <w:ilvl w:val="1"/>
          <w:numId w:val="20"/>
        </w:numPr>
        <w:tabs>
          <w:tab w:val="clear" w:pos="720"/>
          <w:tab w:val="left" w:pos="1260" w:leader="none"/>
        </w:tabs>
        <w:rPr>
          <w:rFonts w:ascii="Times New Roman" w:hAnsi="Times New Roman" w:cs="Times New Roman"/>
        </w:rPr>
      </w:pPr>
      <w:r>
        <w:rPr>
          <w:rFonts w:cs="Times New Roman" w:ascii="Times New Roman" w:hAnsi="Times New Roman"/>
        </w:rPr>
        <w:t>Andy Zipper &amp; Jay Fitzgerald/Travis McCullough (Vinson &amp; Elkins)</w:t>
      </w:r>
    </w:p>
    <w:p>
      <w:pPr>
        <w:pStyle w:val="EndnoteText"/>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Several investments in connection with posting EnronOnline prices to third party trading platforms are in various stages:  HoustonStreet – closed, True Quote – closed, Envera – term sheet under negotiation; Kiodex – documentation underway</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EAST ORIGINATION &amp; MEXICO</w:t>
      </w:r>
    </w:p>
    <w:p>
      <w:pPr>
        <w:pStyle w:val="Normal"/>
        <w:widowControl/>
        <w:numPr>
          <w:ilvl w:val="0"/>
          <w:numId w:val="8"/>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Equity sell-down of 1999 and 2000 peakers power plants and 2001 development sites</w:t>
      </w:r>
    </w:p>
    <w:p>
      <w:pPr>
        <w:pStyle w:val="BodyText"/>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Stuart Zisman</w:t>
      </w:r>
    </w:p>
    <w:p>
      <w:pPr>
        <w:pStyle w:val="BodyText"/>
        <w:widowControl/>
        <w:numPr>
          <w:ilvl w:val="0"/>
          <w:numId w:val="10"/>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Peaker sales are complete (expect to complete sale of Haywood, Tennessee site prior to year end)</w:t>
      </w:r>
    </w:p>
    <w:p>
      <w:pPr>
        <w:pStyle w:val="Normal"/>
        <w:widowControl/>
        <w:numPr>
          <w:ilvl w:val="0"/>
          <w:numId w:val="8"/>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Expansion of Linden Power Plant (East Coast Power) and equity sell-down</w:t>
      </w:r>
    </w:p>
    <w:p>
      <w:pPr>
        <w:pStyle w:val="BodyText"/>
        <w:widowControl/>
        <w:numPr>
          <w:ilvl w:val="0"/>
          <w:numId w:val="10"/>
        </w:numPr>
        <w:tabs>
          <w:tab w:val="clear" w:pos="720"/>
          <w:tab w:val="left" w:pos="1260" w:leader="none"/>
        </w:tabs>
        <w:rPr>
          <w:rFonts w:ascii="Times New Roman" w:hAnsi="Times New Roman" w:cs="Times New Roman"/>
        </w:rPr>
      </w:pPr>
      <w:r>
        <w:rPr>
          <w:rFonts w:cs="Times New Roman" w:ascii="Times New Roman" w:hAnsi="Times New Roman"/>
        </w:rPr>
        <w:t>Lisa Mellencamp</w:t>
      </w:r>
    </w:p>
    <w:p>
      <w:pPr>
        <w:pStyle w:val="BodyText"/>
        <w:widowControl/>
        <w:numPr>
          <w:ilvl w:val="0"/>
          <w:numId w:val="10"/>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Negotiation of agreements for the construction and the permitting of expansions underway; negotiations for equity sell-down underway</w:t>
      </w:r>
      <w:r>
        <w:br w:type="page"/>
      </w:r>
    </w:p>
    <w:p>
      <w:pPr>
        <w:pStyle w:val="BodyText"/>
        <w:widowControl/>
        <w:tabs>
          <w:tab w:val="clear" w:pos="720"/>
          <w:tab w:val="left" w:pos="1260" w:leader="none"/>
        </w:tabs>
        <w:ind w:start="1080" w:end="0"/>
        <w:rPr>
          <w:rFonts w:ascii="Times New Roman" w:hAnsi="Times New Roman" w:cs="Times New Roman"/>
        </w:rPr>
      </w:pPr>
      <w:r>
        <w:rPr>
          <w:rFonts w:cs="Times New Roman" w:ascii="Times New Roman" w:hAnsi="Times New Roman"/>
        </w:rPr>
      </w:r>
    </w:p>
    <w:p>
      <w:pPr>
        <w:pStyle w:val="Normal"/>
        <w:widowControl/>
        <w:numPr>
          <w:ilvl w:val="0"/>
          <w:numId w:val="8"/>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Fuel Cell Joint Venture</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Kay Mann</w:t>
      </w:r>
    </w:p>
    <w:p>
      <w:pPr>
        <w:pStyle w:val="BodyText"/>
        <w:widowControl/>
        <w:numPr>
          <w:ilvl w:val="0"/>
          <w:numId w:val="10"/>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LOI with Connecticut Resource Recovery Authority in place; definitive agreements in progress</w:t>
      </w:r>
    </w:p>
    <w:p>
      <w:pPr>
        <w:pStyle w:val="Normal"/>
        <w:widowControl/>
        <w:numPr>
          <w:ilvl w:val="0"/>
          <w:numId w:val="8"/>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Alamac – Acquisition of two North Carolina 35W coal-fired power plants via equity purchase</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Steve Van Hooser</w:t>
      </w:r>
    </w:p>
    <w:p>
      <w:pPr>
        <w:pStyle w:val="BodyText"/>
        <w:widowControl/>
        <w:numPr>
          <w:ilvl w:val="0"/>
          <w:numId w:val="10"/>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Execution of purchase agreement expected 11/20/00; closing to occur in December, 2000</w:t>
      </w:r>
    </w:p>
    <w:p>
      <w:pPr>
        <w:pStyle w:val="Normal"/>
        <w:widowControl/>
        <w:numPr>
          <w:ilvl w:val="0"/>
          <w:numId w:val="8"/>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LIPA Power Barge Transaction – New negotiations have commenced regarding sale of these 66MW to Long Island Power Authority or selling power to LIPA using the barges</w:t>
      </w:r>
    </w:p>
    <w:p>
      <w:pPr>
        <w:pStyle w:val="BodyText"/>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Steve Van Hooser</w:t>
      </w:r>
    </w:p>
    <w:p>
      <w:pPr>
        <w:pStyle w:val="BodyText"/>
        <w:widowControl/>
        <w:numPr>
          <w:ilvl w:val="0"/>
          <w:numId w:val="10"/>
        </w:numPr>
        <w:tabs>
          <w:tab w:val="clear" w:pos="720"/>
          <w:tab w:val="left" w:pos="1260" w:leader="none"/>
        </w:tabs>
        <w:rPr>
          <w:rFonts w:ascii="Times New Roman" w:hAnsi="Times New Roman" w:cs="Times New Roman"/>
        </w:rPr>
      </w:pPr>
      <w:r>
        <w:rPr>
          <w:rFonts w:cs="Times New Roman" w:ascii="Times New Roman" w:hAnsi="Times New Roman"/>
        </w:rPr>
        <w:t>Update:</w:t>
        <w:tab/>
        <w:t>Term sheet to be delivered 12-15-00</w:t>
      </w:r>
    </w:p>
    <w:p>
      <w:pPr>
        <w:pStyle w:val="BodyText"/>
        <w:widowControl/>
        <w:tabs>
          <w:tab w:val="clear" w:pos="720"/>
          <w:tab w:val="left" w:pos="1260" w:leader="none"/>
        </w:tabs>
        <w:spacing w:before="120" w:after="0"/>
        <w:ind w:start="360" w:end="0"/>
        <w:rPr>
          <w:rFonts w:ascii="Times New Roman" w:hAnsi="Times New Roman" w:cs="Times New Roman"/>
          <w:b/>
          <w:bCs/>
          <w:u w:val="single"/>
        </w:rPr>
      </w:pPr>
      <w:r>
        <w:rPr>
          <w:rFonts w:cs="Times New Roman" w:ascii="Times New Roman" w:hAnsi="Times New Roman"/>
          <w:b/>
          <w:bCs/>
          <w:u w:val="single"/>
        </w:rPr>
        <w:t>Mexico</w:t>
      </w:r>
    </w:p>
    <w:p>
      <w:pPr>
        <w:pStyle w:val="Normal"/>
        <w:widowControl/>
        <w:numPr>
          <w:ilvl w:val="0"/>
          <w:numId w:val="22"/>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Vitro Power Generation Transaction</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Peggy Banczak</w:t>
      </w:r>
    </w:p>
    <w:p>
      <w:pPr>
        <w:pStyle w:val="BodyText"/>
        <w:widowControl/>
        <w:numPr>
          <w:ilvl w:val="0"/>
          <w:numId w:val="10"/>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Financial close with IDB should occur by 12/19/00</w:t>
      </w:r>
    </w:p>
    <w:p>
      <w:pPr>
        <w:pStyle w:val="Normal"/>
        <w:widowControl/>
        <w:numPr>
          <w:ilvl w:val="0"/>
          <w:numId w:val="22"/>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Project Stealth – Development of several small power generation facilities - to be packaged for sale by ENA</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Peggy Banczak</w:t>
      </w:r>
    </w:p>
    <w:p>
      <w:pPr>
        <w:pStyle w:val="BodyText"/>
        <w:widowControl/>
        <w:numPr>
          <w:ilvl w:val="0"/>
          <w:numId w:val="10"/>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Various stages of progress</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WEST ORIGINATION</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Pastoria Energy Facility and expansion of LV Cogen and equity sell-down of Pastoria and LV Cogen</w:t>
      </w:r>
    </w:p>
    <w:p>
      <w:pPr>
        <w:pStyle w:val="Normal"/>
        <w:widowControl/>
        <w:tabs>
          <w:tab w:val="clear" w:pos="720"/>
          <w:tab w:val="left" w:pos="1260" w:leader="none"/>
        </w:tabs>
        <w:ind w:hanging="360" w:start="1440" w:end="0"/>
        <w:jc w:val="both"/>
        <w:rPr>
          <w:rFonts w:ascii="Times New Roman" w:hAnsi="Times New Roman" w:cs="Times New Roman"/>
        </w:rPr>
      </w:pPr>
      <w:r>
        <w:rPr>
          <w:rFonts w:cs="Times New Roman" w:ascii="Times New Roman" w:hAnsi="Times New Roman"/>
        </w:rPr>
        <w:t>-</w:t>
        <w:tab/>
        <w:t>Karen Jones/Sheila Tweed</w:t>
      </w:r>
    </w:p>
    <w:p>
      <w:pPr>
        <w:pStyle w:val="Normal"/>
        <w:widowControl/>
        <w:numPr>
          <w:ilvl w:val="0"/>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 xml:space="preserve">Negotiating the sales of Pastoria and LV Cogen; purchase and sale agreements to be signed by end of December.  </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multiple sites for power plant development in Florida, Washington, Colorado, Louisiana, Georgia and Missouri</w:t>
      </w:r>
    </w:p>
    <w:p>
      <w:pPr>
        <w:pStyle w:val="BodyText"/>
        <w:widowControl/>
        <w:numPr>
          <w:ilvl w:val="0"/>
          <w:numId w:val="10"/>
        </w:numPr>
        <w:tabs>
          <w:tab w:val="clear" w:pos="720"/>
          <w:tab w:val="left" w:pos="1260" w:leader="none"/>
        </w:tabs>
        <w:rPr>
          <w:rFonts w:ascii="Times New Roman" w:hAnsi="Times New Roman" w:cs="Times New Roman"/>
        </w:rPr>
      </w:pPr>
      <w:r>
        <w:rPr>
          <w:rFonts w:cs="Times New Roman" w:ascii="Times New Roman" w:hAnsi="Times New Roman"/>
        </w:rPr>
        <w:t>Bob Carter/Bart Clark/Kay Mann/Karen Jones/Al Larsen</w:t>
      </w:r>
    </w:p>
    <w:p>
      <w:pPr>
        <w:pStyle w:val="BodyText"/>
        <w:widowControl/>
        <w:numPr>
          <w:ilvl w:val="0"/>
          <w:numId w:val="10"/>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Acquiring sites, turbines and getting permits for 5 to 7 projects</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 xml:space="preserve">Development of combined cycle plant at Port of Longview, Washington and long-term PPA to industrial.  </w:t>
      </w:r>
    </w:p>
    <w:p>
      <w:pPr>
        <w:pStyle w:val="BodyText"/>
        <w:widowControl/>
        <w:numPr>
          <w:ilvl w:val="0"/>
          <w:numId w:val="10"/>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Dale Rasmussen/Al Larsen/Sheila Tweed</w:t>
      </w:r>
    </w:p>
    <w:p>
      <w:pPr>
        <w:pStyle w:val="BodyText"/>
        <w:widowControl/>
        <w:numPr>
          <w:ilvl w:val="0"/>
          <w:numId w:val="10"/>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 xml:space="preserve">Permitting site and acquiring equipment.  </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 xml:space="preserve">Power Plant Development in Colorado for long-term PPA with PSCO.  </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Al Larsen</w:t>
      </w:r>
    </w:p>
    <w:p>
      <w:pPr>
        <w:pStyle w:val="BodyText"/>
        <w:widowControl/>
        <w:numPr>
          <w:ilvl w:val="0"/>
          <w:numId w:val="10"/>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PPA has been executed.  Project is in development for 2001 start date.  EPC Contract being finalized and sale of equity being pursued with two bidders</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Tex-Mex – Development and construction of a DC-transmission tie-line with City of Brownsville, Texas</w:t>
      </w:r>
    </w:p>
    <w:p>
      <w:pPr>
        <w:pStyle w:val="BodyText"/>
        <w:widowControl/>
        <w:numPr>
          <w:ilvl w:val="0"/>
          <w:numId w:val="10"/>
        </w:numPr>
        <w:tabs>
          <w:tab w:val="clear" w:pos="720"/>
          <w:tab w:val="left" w:pos="1260" w:leader="none"/>
        </w:tabs>
        <w:rPr>
          <w:rFonts w:ascii="Times New Roman" w:hAnsi="Times New Roman" w:cs="Times New Roman"/>
        </w:rPr>
      </w:pPr>
      <w:r>
        <w:rPr>
          <w:rFonts w:cs="Times New Roman" w:ascii="Times New Roman" w:hAnsi="Times New Roman"/>
        </w:rPr>
        <w:t>Bob Carter</w:t>
      </w:r>
    </w:p>
    <w:p>
      <w:pPr>
        <w:pStyle w:val="BodyText"/>
        <w:widowControl/>
        <w:numPr>
          <w:ilvl w:val="0"/>
          <w:numId w:val="10"/>
        </w:numPr>
        <w:tabs>
          <w:tab w:val="clear" w:pos="720"/>
          <w:tab w:val="left" w:pos="1260" w:leader="none"/>
        </w:tabs>
        <w:rPr>
          <w:rFonts w:ascii="Times New Roman" w:hAnsi="Times New Roman" w:cs="Times New Roman"/>
        </w:rPr>
      </w:pPr>
      <w:r>
        <w:rPr>
          <w:rFonts w:cs="Times New Roman" w:ascii="Times New Roman" w:hAnsi="Times New Roman"/>
        </w:rPr>
        <w:t>Update:</w:t>
        <w:tab/>
        <w:t>Equipment procured.  Presidential permit is in draft.</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UPSTREAM ORIGINATION AND HPL</w:t>
      </w:r>
    </w:p>
    <w:p>
      <w:pPr>
        <w:pStyle w:val="Normal"/>
        <w:widowControl/>
        <w:numPr>
          <w:ilvl w:val="0"/>
          <w:numId w:val="16"/>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Project Triple Lutz – Sale of HPL and related assets</w:t>
      </w:r>
    </w:p>
    <w:p>
      <w:pPr>
        <w:pStyle w:val="BodyText"/>
        <w:widowControl/>
        <w:tabs>
          <w:tab w:val="clear" w:pos="720"/>
          <w:tab w:val="left" w:pos="0" w:leader="none"/>
          <w:tab w:val="left" w:pos="450" w:leader="none"/>
          <w:tab w:val="left" w:pos="1260" w:leader="none"/>
        </w:tabs>
        <w:ind w:hanging="360" w:start="1080" w:end="0"/>
        <w:rPr>
          <w:rFonts w:ascii="Times New Roman" w:hAnsi="Times New Roman" w:cs="Times New Roman"/>
        </w:rPr>
      </w:pPr>
      <w:r>
        <w:rPr>
          <w:rFonts w:cs="Times New Roman" w:ascii="Times New Roman" w:hAnsi="Times New Roman"/>
        </w:rPr>
        <w:tab/>
        <w:t>-</w:t>
        <w:tab/>
        <w:t>Barbara Gray/Anne Koehler</w:t>
      </w:r>
    </w:p>
    <w:p>
      <w:pPr>
        <w:pStyle w:val="BodyText"/>
        <w:widowControl/>
        <w:tabs>
          <w:tab w:val="clear" w:pos="720"/>
          <w:tab w:val="left" w:pos="1260" w:leader="none"/>
        </w:tabs>
        <w:ind w:hanging="1080" w:start="2160" w:end="0"/>
        <w:rPr/>
      </w:pPr>
      <w:r>
        <w:rPr>
          <w:rFonts w:cs="Times New Roman" w:ascii="Times New Roman" w:hAnsi="Times New Roman"/>
        </w:rPr>
        <w:t>-</w:t>
        <w:tab/>
        <w:t>Update:</w:t>
        <w:tab/>
        <w:t>Negotiating with potential purchaser; any closing would be in 1</w:t>
      </w:r>
      <w:r>
        <w:rPr>
          <w:rFonts w:cs="Times New Roman" w:ascii="Times New Roman" w:hAnsi="Times New Roman"/>
          <w:vertAlign w:val="superscript"/>
        </w:rPr>
        <w:t>st</w:t>
      </w:r>
      <w:r>
        <w:rPr>
          <w:rFonts w:cs="Times New Roman" w:ascii="Times New Roman" w:hAnsi="Times New Roman"/>
        </w:rPr>
        <w:t>/2</w:t>
      </w:r>
      <w:r>
        <w:rPr>
          <w:rFonts w:cs="Times New Roman" w:ascii="Times New Roman" w:hAnsi="Times New Roman"/>
          <w:vertAlign w:val="superscript"/>
        </w:rPr>
        <w:t>nd</w:t>
      </w:r>
      <w:r>
        <w:rPr>
          <w:rFonts w:cs="Times New Roman" w:ascii="Times New Roman" w:hAnsi="Times New Roman"/>
        </w:rPr>
        <w:t xml:space="preserve"> or 4</w:t>
      </w:r>
      <w:r>
        <w:rPr>
          <w:rFonts w:cs="Times New Roman" w:ascii="Times New Roman" w:hAnsi="Times New Roman"/>
          <w:vertAlign w:val="superscript"/>
        </w:rPr>
        <w:t>th</w:t>
      </w:r>
      <w:r>
        <w:rPr>
          <w:rFonts w:cs="Times New Roman" w:ascii="Times New Roman" w:hAnsi="Times New Roman"/>
        </w:rPr>
        <w:t xml:space="preserve"> quarter 2001</w:t>
      </w:r>
    </w:p>
    <w:p>
      <w:pPr>
        <w:pStyle w:val="Normal"/>
        <w:widowControl/>
        <w:numPr>
          <w:ilvl w:val="0"/>
          <w:numId w:val="16"/>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Project 20/20 - Sale of Wyoming gathering assets/entities to Northern Border</w:t>
      </w:r>
    </w:p>
    <w:p>
      <w:pPr>
        <w:pStyle w:val="BodyText"/>
        <w:widowControl/>
        <w:tabs>
          <w:tab w:val="clear" w:pos="720"/>
          <w:tab w:val="left" w:pos="0" w:leader="none"/>
          <w:tab w:val="left" w:pos="450" w:leader="none"/>
          <w:tab w:val="left" w:pos="1260" w:leader="none"/>
        </w:tabs>
        <w:ind w:hanging="360" w:start="1080" w:end="0"/>
        <w:rPr>
          <w:rFonts w:ascii="Times New Roman" w:hAnsi="Times New Roman" w:cs="Times New Roman"/>
        </w:rPr>
      </w:pPr>
      <w:r>
        <w:rPr>
          <w:rFonts w:cs="Times New Roman" w:ascii="Times New Roman" w:hAnsi="Times New Roman"/>
        </w:rPr>
        <w:tab/>
        <w:t>-</w:t>
        <w:tab/>
        <w:t>Shonnie Daniel</w:t>
      </w:r>
    </w:p>
    <w:p>
      <w:pPr>
        <w:pStyle w:val="BodyText"/>
        <w:widowControl/>
        <w:tabs>
          <w:tab w:val="clear" w:pos="720"/>
          <w:tab w:val="left" w:pos="1260" w:leader="none"/>
        </w:tabs>
        <w:ind w:hanging="1080" w:start="2160" w:end="0"/>
        <w:rPr/>
      </w:pPr>
      <w:r>
        <w:rPr>
          <w:rFonts w:cs="Times New Roman" w:ascii="Times New Roman" w:hAnsi="Times New Roman"/>
        </w:rPr>
        <w:t>-</w:t>
        <w:tab/>
        <w:t>Update:</w:t>
        <w:tab/>
        <w:t>Project closed – 3</w:t>
      </w:r>
      <w:r>
        <w:rPr>
          <w:rFonts w:cs="Times New Roman" w:ascii="Times New Roman" w:hAnsi="Times New Roman"/>
          <w:vertAlign w:val="superscript"/>
        </w:rPr>
        <w:t>rd</w:t>
      </w:r>
      <w:r>
        <w:rPr>
          <w:rFonts w:cs="Times New Roman" w:ascii="Times New Roman" w:hAnsi="Times New Roman"/>
        </w:rPr>
        <w:t xml:space="preserve"> quarter – post-closing obligations still underway</w:t>
      </w:r>
    </w:p>
    <w:p>
      <w:pPr>
        <w:pStyle w:val="Normal"/>
        <w:widowControl/>
        <w:numPr>
          <w:ilvl w:val="0"/>
          <w:numId w:val="16"/>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NEWCO</w:t>
      </w:r>
      <w:r>
        <w:rPr>
          <w:rFonts w:cs="Times New Roman" w:ascii="Times New Roman" w:hAnsi="Times New Roman"/>
          <w:vertAlign w:val="subscript"/>
        </w:rPr>
        <w:t xml:space="preserve">2 </w:t>
      </w:r>
      <w:r>
        <w:rPr>
          <w:rFonts w:cs="Times New Roman" w:ascii="Times New Roman" w:hAnsi="Times New Roman"/>
        </w:rPr>
        <w:t>- Purchase of interests in CO</w:t>
      </w:r>
      <w:r>
        <w:rPr>
          <w:rFonts w:cs="Times New Roman" w:ascii="Times New Roman" w:hAnsi="Times New Roman"/>
          <w:vertAlign w:val="subscript"/>
        </w:rPr>
        <w:t>2</w:t>
      </w:r>
      <w:r>
        <w:rPr>
          <w:rFonts w:cs="Times New Roman" w:ascii="Times New Roman" w:hAnsi="Times New Roman"/>
        </w:rPr>
        <w:t xml:space="preserve"> ventures</w:t>
      </w:r>
    </w:p>
    <w:p>
      <w:pPr>
        <w:pStyle w:val="Normal"/>
        <w:widowControl/>
        <w:numPr>
          <w:ilvl w:val="0"/>
          <w:numId w:val="10"/>
        </w:numPr>
        <w:tabs>
          <w:tab w:val="clear" w:pos="720"/>
          <w:tab w:val="left" w:pos="1260" w:leader="none"/>
        </w:tabs>
        <w:jc w:val="both"/>
        <w:rPr>
          <w:rFonts w:ascii="Times New Roman" w:hAnsi="Times New Roman" w:cs="Times New Roman"/>
        </w:rPr>
      </w:pPr>
      <w:r>
        <w:rPr>
          <w:rFonts w:cs="Times New Roman" w:ascii="Times New Roman" w:hAnsi="Times New Roman"/>
        </w:rPr>
        <w:t>Shonnie Daniel</w:t>
      </w:r>
    </w:p>
    <w:p>
      <w:pPr>
        <w:pStyle w:val="BodyText"/>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Project in structuring phase</w:t>
      </w:r>
      <w:r>
        <w:br w:type="page"/>
      </w:r>
    </w:p>
    <w:p>
      <w:pPr>
        <w:pStyle w:val="BodyText"/>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r>
    </w:p>
    <w:p>
      <w:pPr>
        <w:pStyle w:val="Normal"/>
        <w:widowControl/>
        <w:numPr>
          <w:ilvl w:val="0"/>
          <w:numId w:val="16"/>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Routine RRC Audit of Annual Report and payment of Gross Receipts Taxes (mid 1997 – 1999)</w:t>
      </w:r>
    </w:p>
    <w:p>
      <w:pPr>
        <w:pStyle w:val="Normal"/>
        <w:widowControl/>
        <w:tabs>
          <w:tab w:val="clear" w:pos="720"/>
          <w:tab w:val="left" w:pos="-90" w:leader="none"/>
          <w:tab w:val="left" w:pos="90" w:leader="none"/>
          <w:tab w:val="left" w:pos="1080" w:leader="none"/>
          <w:tab w:val="left" w:pos="1260" w:leader="none"/>
        </w:tabs>
        <w:ind w:start="1080" w:end="0"/>
        <w:jc w:val="both"/>
        <w:rPr>
          <w:rFonts w:ascii="Times New Roman" w:hAnsi="Times New Roman" w:cs="Times New Roman"/>
        </w:rPr>
      </w:pPr>
      <w:r>
        <w:rPr>
          <w:rFonts w:cs="Times New Roman" w:ascii="Times New Roman" w:hAnsi="Times New Roman"/>
        </w:rPr>
        <w:t>-</w:t>
        <w:tab/>
        <w:t>HPL Accounting Department</w:t>
      </w:r>
    </w:p>
    <w:p>
      <w:pPr>
        <w:pStyle w:val="EndnoteText"/>
        <w:tabs>
          <w:tab w:val="clear" w:pos="720"/>
          <w:tab w:val="left" w:pos="1260" w:leader="none"/>
          <w:tab w:val="left" w:pos="1800" w:leader="none"/>
        </w:tabs>
        <w:ind w:hanging="1080" w:start="2160" w:end="0"/>
        <w:jc w:val="both"/>
        <w:rPr>
          <w:rFonts w:ascii="Times New Roman" w:hAnsi="Times New Roman" w:cs="Times New Roman"/>
        </w:rPr>
      </w:pPr>
      <w:r>
        <w:rPr>
          <w:rFonts w:cs="Times New Roman" w:ascii="Times New Roman" w:hAnsi="Times New Roman"/>
        </w:rPr>
        <w:t>-</w:t>
        <w:tab/>
        <w:t>Update:</w:t>
        <w:tab/>
        <w:t>6/30/00 staff auditors of the RRC issued a letter finding various deficiencies in accounting systems; responses filed</w:t>
      </w:r>
    </w:p>
    <w:p>
      <w:pPr>
        <w:pStyle w:val="Normal"/>
        <w:widowControl/>
        <w:numPr>
          <w:ilvl w:val="0"/>
          <w:numId w:val="16"/>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A/S Pipeline Blowout – HPL owns 50% of this line; El Paso the other 50%; El Paso is the operator; TXRRC is requiring the “pigging” of this line at a cost in excess of $1 million; no personal injuries</w:t>
      </w:r>
    </w:p>
    <w:p>
      <w:pPr>
        <w:pStyle w:val="Normal"/>
        <w:widowControl/>
        <w:tabs>
          <w:tab w:val="clear" w:pos="720"/>
          <w:tab w:val="left" w:pos="-90" w:leader="none"/>
          <w:tab w:val="left" w:pos="90" w:leader="none"/>
          <w:tab w:val="left" w:pos="1080" w:leader="none"/>
          <w:tab w:val="left" w:pos="1260" w:leader="none"/>
        </w:tabs>
        <w:ind w:start="1080" w:end="0"/>
        <w:jc w:val="both"/>
        <w:rPr>
          <w:rFonts w:ascii="Times New Roman" w:hAnsi="Times New Roman" w:cs="Times New Roman"/>
        </w:rPr>
      </w:pPr>
      <w:r>
        <w:rPr>
          <w:rFonts w:cs="Times New Roman" w:ascii="Times New Roman" w:hAnsi="Times New Roman"/>
        </w:rPr>
        <w:t>-</w:t>
        <w:tab/>
        <w:t xml:space="preserve">Barbara Gray/Bonnie White </w:t>
      </w:r>
    </w:p>
    <w:p>
      <w:pPr>
        <w:pStyle w:val="EndnoteText"/>
        <w:tabs>
          <w:tab w:val="clear" w:pos="720"/>
          <w:tab w:val="left" w:pos="1260" w:leader="none"/>
          <w:tab w:val="left" w:pos="1800" w:leader="none"/>
        </w:tabs>
        <w:ind w:hanging="1080" w:start="2160" w:end="0"/>
        <w:jc w:val="both"/>
        <w:rPr>
          <w:rFonts w:ascii="Times New Roman" w:hAnsi="Times New Roman" w:cs="Times New Roman"/>
        </w:rPr>
      </w:pPr>
      <w:r>
        <w:rPr>
          <w:rFonts w:cs="Times New Roman" w:ascii="Times New Roman" w:hAnsi="Times New Roman"/>
        </w:rPr>
        <w:t>-</w:t>
        <w:tab/>
        <w:t>Update:</w:t>
        <w:tab/>
        <w:t>initial stage of monitoring legal representation of Mark Wawro, hired by El Paso</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FINANCE/M&amp;A/ENERGY INVESTMENTS</w:t>
      </w:r>
    </w:p>
    <w:p>
      <w:pPr>
        <w:pStyle w:val="Normal"/>
        <w:widowControl/>
        <w:numPr>
          <w:ilvl w:val="0"/>
          <w:numId w:val="4"/>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QF Restructurings – Continue to work on a variety of QF restructurings</w:t>
      </w:r>
    </w:p>
    <w:p>
      <w:pPr>
        <w:pStyle w:val="Normal"/>
        <w:widowControl/>
        <w:tabs>
          <w:tab w:val="clear" w:pos="720"/>
          <w:tab w:val="left" w:pos="1080" w:leader="none"/>
          <w:tab w:val="left" w:pos="1260" w:leader="none"/>
        </w:tabs>
        <w:ind w:start="720" w:end="0"/>
        <w:jc w:val="both"/>
        <w:rPr>
          <w:rFonts w:ascii="Times New Roman" w:hAnsi="Times New Roman" w:cs="Times New Roman"/>
        </w:rPr>
      </w:pPr>
      <w:r>
        <w:rPr>
          <w:rFonts w:cs="Times New Roman" w:ascii="Times New Roman" w:hAnsi="Times New Roman"/>
        </w:rPr>
        <w:tab/>
        <w:t>-</w:t>
        <w:tab/>
        <w:t>Dan Lyons</w:t>
      </w:r>
    </w:p>
    <w:p>
      <w:pPr>
        <w:pStyle w:val="Normal"/>
        <w:widowControl/>
        <w:tabs>
          <w:tab w:val="clear" w:pos="720"/>
          <w:tab w:val="left" w:pos="1080" w:leader="none"/>
          <w:tab w:val="left" w:pos="1260" w:leader="none"/>
        </w:tabs>
        <w:ind w:hanging="1440" w:start="2160" w:end="0"/>
        <w:jc w:val="both"/>
        <w:rPr>
          <w:rFonts w:ascii="Times New Roman" w:hAnsi="Times New Roman" w:cs="Times New Roman"/>
        </w:rPr>
      </w:pPr>
      <w:r>
        <w:rPr>
          <w:rFonts w:cs="Times New Roman" w:ascii="Times New Roman" w:hAnsi="Times New Roman"/>
        </w:rPr>
        <w:tab/>
        <w:t>-</w:t>
        <w:tab/>
        <w:t>Update:</w:t>
        <w:tab/>
        <w:t>Transactions at varying stages of completion</w:t>
      </w:r>
    </w:p>
    <w:p>
      <w:pPr>
        <w:pStyle w:val="Normal"/>
        <w:widowControl/>
        <w:numPr>
          <w:ilvl w:val="0"/>
          <w:numId w:val="4"/>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Acquisition and Disposition Transactions – Continue to work on a variety of transactions, including acquisitions of companies owning interests in power generation facilities</w:t>
      </w:r>
    </w:p>
    <w:p>
      <w:pPr>
        <w:pStyle w:val="BodyText"/>
        <w:widowControl/>
        <w:numPr>
          <w:ilvl w:val="0"/>
          <w:numId w:val="10"/>
        </w:numPr>
        <w:tabs>
          <w:tab w:val="clear" w:pos="720"/>
          <w:tab w:val="left" w:pos="1260" w:leader="none"/>
        </w:tabs>
        <w:rPr>
          <w:rFonts w:ascii="Times New Roman" w:hAnsi="Times New Roman" w:cs="Times New Roman"/>
        </w:rPr>
      </w:pPr>
      <w:r>
        <w:rPr>
          <w:rFonts w:cs="Times New Roman" w:ascii="Times New Roman" w:hAnsi="Times New Roman"/>
        </w:rPr>
        <w:t>Lance Schuler/Lou Stoler</w:t>
      </w:r>
    </w:p>
    <w:p>
      <w:pPr>
        <w:pStyle w:val="BodyText"/>
        <w:widowControl/>
        <w:numPr>
          <w:ilvl w:val="0"/>
          <w:numId w:val="10"/>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Project INGA (Lou Stoler) in documentation; other transactions in varying states of completion</w:t>
      </w:r>
    </w:p>
    <w:p>
      <w:pPr>
        <w:pStyle w:val="Normal"/>
        <w:widowControl/>
        <w:numPr>
          <w:ilvl w:val="0"/>
          <w:numId w:val="4"/>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HEOF II Matters – Continue to work on investments by HEOF II in various minority-owned businesses</w:t>
      </w:r>
    </w:p>
    <w:p>
      <w:pPr>
        <w:pStyle w:val="BodyText"/>
        <w:widowControl/>
        <w:numPr>
          <w:ilvl w:val="0"/>
          <w:numId w:val="10"/>
        </w:numPr>
        <w:tabs>
          <w:tab w:val="clear" w:pos="720"/>
          <w:tab w:val="left" w:pos="1260" w:leader="none"/>
        </w:tabs>
        <w:rPr>
          <w:rFonts w:ascii="Times New Roman" w:hAnsi="Times New Roman" w:cs="Times New Roman"/>
        </w:rPr>
      </w:pPr>
      <w:r>
        <w:rPr>
          <w:rFonts w:cs="Times New Roman" w:ascii="Times New Roman" w:hAnsi="Times New Roman"/>
        </w:rPr>
        <w:t>Jim Grace</w:t>
      </w:r>
    </w:p>
    <w:p>
      <w:pPr>
        <w:pStyle w:val="BodyText"/>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Transactions at varying stages of completion</w:t>
      </w:r>
    </w:p>
    <w:p>
      <w:pPr>
        <w:pStyle w:val="Normal"/>
        <w:widowControl/>
        <w:numPr>
          <w:ilvl w:val="0"/>
          <w:numId w:val="4"/>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Production Payments – Variety of transactions involving production payments</w:t>
      </w:r>
    </w:p>
    <w:p>
      <w:pPr>
        <w:pStyle w:val="BodyText"/>
        <w:widowControl/>
        <w:numPr>
          <w:ilvl w:val="0"/>
          <w:numId w:val="10"/>
        </w:numPr>
        <w:tabs>
          <w:tab w:val="clear" w:pos="720"/>
          <w:tab w:val="left" w:pos="1260" w:leader="none"/>
        </w:tabs>
        <w:rPr>
          <w:rFonts w:ascii="Times New Roman" w:hAnsi="Times New Roman" w:cs="Times New Roman"/>
        </w:rPr>
      </w:pPr>
      <w:r>
        <w:rPr>
          <w:rFonts w:cs="Times New Roman" w:ascii="Times New Roman" w:hAnsi="Times New Roman"/>
        </w:rPr>
        <w:t>Teresa Bushman</w:t>
      </w:r>
    </w:p>
    <w:p>
      <w:pPr>
        <w:pStyle w:val="BodyText"/>
        <w:widowControl/>
        <w:tabs>
          <w:tab w:val="clear" w:pos="720"/>
          <w:tab w:val="left" w:pos="1260" w:leader="none"/>
        </w:tabs>
        <w:ind w:hanging="1080" w:start="2160" w:end="0"/>
        <w:rPr/>
      </w:pPr>
      <w:r>
        <w:rPr>
          <w:rFonts w:cs="Times New Roman" w:ascii="Times New Roman" w:hAnsi="Times New Roman"/>
        </w:rPr>
        <w:t>-</w:t>
        <w:tab/>
        <w:t>Update:</w:t>
        <w:tab/>
        <w:t>Transactions at varying stages of completion; Crescendo Energy and St. Mary's Production closed 4</w:t>
      </w:r>
      <w:r>
        <w:rPr>
          <w:rFonts w:cs="Times New Roman" w:ascii="Times New Roman" w:hAnsi="Times New Roman"/>
          <w:vertAlign w:val="superscript"/>
        </w:rPr>
        <w:t>th</w:t>
      </w:r>
      <w:r>
        <w:rPr>
          <w:rFonts w:cs="Times New Roman" w:ascii="Times New Roman" w:hAnsi="Times New Roman"/>
        </w:rPr>
        <w:t xml:space="preserve"> Qtr.</w:t>
      </w:r>
    </w:p>
    <w:p>
      <w:pPr>
        <w:pStyle w:val="Normal"/>
        <w:widowControl/>
        <w:numPr>
          <w:ilvl w:val="0"/>
          <w:numId w:val="4"/>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Merchant Portfolio Matters – Continued dispositions and monetizations of the ENA Merchant Portfolio including transfers of assets to Condor vehicle (Project Velocity) and sales/restructurings of special assets; assisting Enron Global Finance with a number of FAS 125 transactions scheduled to close by year-end</w:t>
      </w:r>
    </w:p>
    <w:p>
      <w:pPr>
        <w:pStyle w:val="BodyText"/>
        <w:widowControl/>
        <w:numPr>
          <w:ilvl w:val="0"/>
          <w:numId w:val="10"/>
        </w:numPr>
        <w:tabs>
          <w:tab w:val="clear" w:pos="720"/>
          <w:tab w:val="left" w:pos="1260" w:leader="none"/>
        </w:tabs>
        <w:rPr>
          <w:rFonts w:ascii="Times New Roman" w:hAnsi="Times New Roman" w:cs="Times New Roman"/>
        </w:rPr>
      </w:pPr>
      <w:r>
        <w:rPr>
          <w:rFonts w:cs="Times New Roman" w:ascii="Times New Roman" w:hAnsi="Times New Roman"/>
        </w:rPr>
        <w:t>Travis McCullough/Lisa Mellencamp</w:t>
      </w:r>
    </w:p>
    <w:p>
      <w:pPr>
        <w:pStyle w:val="BodyText"/>
        <w:widowControl/>
        <w:numPr>
          <w:ilvl w:val="0"/>
          <w:numId w:val="10"/>
        </w:numPr>
        <w:tabs>
          <w:tab w:val="clear" w:pos="720"/>
          <w:tab w:val="left" w:pos="1260" w:leader="none"/>
        </w:tabs>
        <w:rPr>
          <w:rFonts w:ascii="Times New Roman" w:hAnsi="Times New Roman" w:cs="Times New Roman"/>
        </w:rPr>
      </w:pPr>
      <w:r>
        <w:rPr>
          <w:rFonts w:cs="Times New Roman" w:ascii="Times New Roman" w:hAnsi="Times New Roman"/>
        </w:rPr>
        <w:t>Update:</w:t>
        <w:tab/>
        <w:t>Project Velocity closed 12/11/00; other transfers to Condor underway and scheduled to close by year-end</w:t>
      </w:r>
    </w:p>
    <w:p>
      <w:pPr>
        <w:pStyle w:val="BodyText"/>
        <w:widowControl/>
        <w:tabs>
          <w:tab w:val="clear" w:pos="720"/>
          <w:tab w:val="left" w:pos="1260" w:leader="none"/>
        </w:tabs>
        <w:ind w:start="1080" w:end="0"/>
        <w:rPr>
          <w:rFonts w:ascii="Times New Roman" w:hAnsi="Times New Roman" w:cs="Times New Roman"/>
        </w:rPr>
      </w:pPr>
      <w:r>
        <w:rPr>
          <w:rFonts w:cs="Times New Roman" w:ascii="Times New Roman" w:hAnsi="Times New Roman"/>
        </w:rPr>
      </w:r>
    </w:p>
    <w:p>
      <w:pPr>
        <w:pStyle w:val="BodyText"/>
        <w:widowControl/>
        <w:tabs>
          <w:tab w:val="clear" w:pos="720"/>
          <w:tab w:val="left" w:pos="1260" w:leader="none"/>
        </w:tabs>
        <w:ind w:hanging="360" w:start="1080" w:end="0"/>
        <w:rPr>
          <w:rFonts w:ascii="Times New Roman" w:hAnsi="Times New Roman" w:cs="Times New Roman"/>
        </w:rPr>
      </w:pPr>
      <w:r>
        <w:rPr>
          <w:rFonts w:cs="Times New Roman" w:ascii="Times New Roman" w:hAnsi="Times New Roman"/>
        </w:rPr>
        <w:t>7.</w:t>
        <w:tab/>
        <w:t>Mahonia Ltd. - $500 M prepaid gas purchase contract</w:t>
      </w:r>
    </w:p>
    <w:p>
      <w:pPr>
        <w:pStyle w:val="BodyText"/>
        <w:widowControl/>
        <w:numPr>
          <w:ilvl w:val="0"/>
          <w:numId w:val="10"/>
        </w:numPr>
        <w:tabs>
          <w:tab w:val="clear" w:pos="720"/>
          <w:tab w:val="left" w:pos="1350" w:leader="none"/>
        </w:tabs>
        <w:rPr>
          <w:rFonts w:ascii="Times New Roman" w:hAnsi="Times New Roman" w:cs="Times New Roman"/>
        </w:rPr>
      </w:pPr>
      <w:r>
        <w:rPr>
          <w:rFonts w:cs="Times New Roman" w:ascii="Times New Roman" w:hAnsi="Times New Roman"/>
        </w:rPr>
        <w:t>Teresa Bushman</w:t>
      </w:r>
    </w:p>
    <w:p>
      <w:pPr>
        <w:pStyle w:val="BodyText"/>
        <w:widowControl/>
        <w:numPr>
          <w:ilvl w:val="0"/>
          <w:numId w:val="10"/>
        </w:numPr>
        <w:tabs>
          <w:tab w:val="clear" w:pos="720"/>
          <w:tab w:val="left" w:pos="1350" w:leader="none"/>
        </w:tabs>
        <w:rPr>
          <w:rFonts w:ascii="Times New Roman" w:hAnsi="Times New Roman" w:cs="Times New Roman"/>
        </w:rPr>
      </w:pPr>
      <w:r>
        <w:rPr>
          <w:rFonts w:cs="Times New Roman" w:ascii="Times New Roman" w:hAnsi="Times New Roman"/>
        </w:rPr>
        <w:t>Update:</w:t>
        <w:tab/>
        <w:t>Scheduled to close by year end</w:t>
      </w:r>
    </w:p>
    <w:p>
      <w:pPr>
        <w:pStyle w:val="BodyText"/>
        <w:widowControl/>
        <w:tabs>
          <w:tab w:val="clear" w:pos="720"/>
          <w:tab w:val="left" w:pos="1080" w:leader="none"/>
        </w:tabs>
        <w:ind w:hanging="360" w:start="1080" w:end="0"/>
        <w:rPr>
          <w:rFonts w:ascii="Times New Roman" w:hAnsi="Times New Roman" w:cs="Times New Roman"/>
        </w:rPr>
      </w:pPr>
      <w:r>
        <w:rPr>
          <w:rFonts w:cs="Times New Roman" w:ascii="Times New Roman" w:hAnsi="Times New Roman"/>
        </w:rPr>
      </w:r>
    </w:p>
    <w:p>
      <w:pPr>
        <w:pStyle w:val="BodyText"/>
        <w:widowControl/>
        <w:tabs>
          <w:tab w:val="clear" w:pos="720"/>
          <w:tab w:val="left" w:pos="1350" w:leader="none"/>
        </w:tabs>
        <w:ind w:hanging="360" w:start="1080" w:end="0"/>
        <w:rPr>
          <w:rFonts w:ascii="Times New Roman" w:hAnsi="Times New Roman" w:cs="Times New Roman"/>
        </w:rPr>
      </w:pPr>
      <w:r>
        <w:rPr>
          <w:rFonts w:cs="Times New Roman" w:ascii="Times New Roman" w:hAnsi="Times New Roman"/>
        </w:rPr>
        <w:t>8.</w:t>
        <w:tab/>
        <w:t>Project Joshua Tree – Joint project with  Enron Global Finance to establish funding vehicle for production payments</w:t>
      </w:r>
    </w:p>
    <w:p>
      <w:pPr>
        <w:pStyle w:val="BodyText"/>
        <w:widowControl/>
        <w:numPr>
          <w:ilvl w:val="0"/>
          <w:numId w:val="10"/>
        </w:numPr>
        <w:tabs>
          <w:tab w:val="clear" w:pos="720"/>
          <w:tab w:val="left" w:pos="1350" w:leader="none"/>
        </w:tabs>
        <w:rPr>
          <w:rFonts w:ascii="Times New Roman" w:hAnsi="Times New Roman" w:cs="Times New Roman"/>
        </w:rPr>
      </w:pPr>
      <w:r>
        <w:rPr>
          <w:rFonts w:cs="Times New Roman" w:ascii="Times New Roman" w:hAnsi="Times New Roman"/>
        </w:rPr>
        <w:t>Teresa Bushman</w:t>
      </w:r>
    </w:p>
    <w:p>
      <w:pPr>
        <w:pStyle w:val="BodyText"/>
        <w:widowControl/>
        <w:tabs>
          <w:tab w:val="clear" w:pos="720"/>
          <w:tab w:val="left" w:pos="1350" w:leader="none"/>
        </w:tabs>
        <w:rPr>
          <w:rFonts w:ascii="Times New Roman" w:hAnsi="Times New Roman" w:cs="Times New Roman"/>
        </w:rPr>
      </w:pPr>
      <w:r>
        <w:rPr>
          <w:rFonts w:cs="Times New Roman" w:ascii="Times New Roman" w:hAnsi="Times New Roman"/>
        </w:rPr>
      </w:r>
    </w:p>
    <w:p>
      <w:pPr>
        <w:pStyle w:val="BodyText"/>
        <w:widowControl/>
        <w:tabs>
          <w:tab w:val="clear" w:pos="720"/>
          <w:tab w:val="left" w:pos="1350" w:leader="none"/>
        </w:tabs>
        <w:ind w:hanging="360" w:start="1080" w:end="0"/>
        <w:rPr>
          <w:rFonts w:ascii="Times New Roman" w:hAnsi="Times New Roman" w:cs="Times New Roman"/>
        </w:rPr>
      </w:pPr>
      <w:r>
        <w:rPr>
          <w:rFonts w:cs="Times New Roman" w:ascii="Times New Roman" w:hAnsi="Times New Roman"/>
        </w:rPr>
        <w:t>9.</w:t>
        <w:tab/>
        <w:t xml:space="preserve">Sales of $50M in assets from joint development programs </w:t>
      </w:r>
    </w:p>
    <w:p>
      <w:pPr>
        <w:pStyle w:val="BodyText"/>
        <w:widowControl/>
        <w:numPr>
          <w:ilvl w:val="0"/>
          <w:numId w:val="10"/>
        </w:numPr>
        <w:tabs>
          <w:tab w:val="clear" w:pos="720"/>
          <w:tab w:val="left" w:pos="1350" w:leader="none"/>
        </w:tabs>
        <w:rPr>
          <w:rFonts w:ascii="Times New Roman" w:hAnsi="Times New Roman" w:cs="Times New Roman"/>
        </w:rPr>
      </w:pPr>
      <w:r>
        <w:rPr>
          <w:rFonts w:cs="Times New Roman" w:ascii="Times New Roman" w:hAnsi="Times New Roman"/>
        </w:rPr>
        <w:t>Teresa Bushman</w:t>
      </w:r>
    </w:p>
    <w:p>
      <w:pPr>
        <w:pStyle w:val="BodyText"/>
        <w:widowControl/>
        <w:numPr>
          <w:ilvl w:val="0"/>
          <w:numId w:val="10"/>
        </w:numPr>
        <w:tabs>
          <w:tab w:val="clear" w:pos="720"/>
          <w:tab w:val="left" w:pos="1350" w:leader="none"/>
        </w:tabs>
        <w:rPr>
          <w:rFonts w:ascii="Times New Roman" w:hAnsi="Times New Roman" w:cs="Times New Roman"/>
        </w:rPr>
      </w:pPr>
      <w:r>
        <w:rPr>
          <w:rFonts w:cs="Times New Roman" w:ascii="Times New Roman" w:hAnsi="Times New Roman"/>
        </w:rPr>
        <w:t>Update:</w:t>
        <w:tab/>
        <w:t>To be completed by year end</w:t>
      </w:r>
      <w:r>
        <w:br w:type="page"/>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LITIGATION</w:t>
      </w:r>
    </w:p>
    <w:p>
      <w:pPr>
        <w:pStyle w:val="Normal"/>
        <w:jc w:val="both"/>
        <w:rPr>
          <w:rFonts w:ascii="Times New Roman" w:hAnsi="Times New Roman" w:cs="Times New Roman"/>
          <w:i/>
          <w:i/>
          <w:sz w:val="22"/>
          <w:u w:val="single"/>
        </w:rPr>
      </w:pPr>
      <w:r>
        <w:rPr>
          <w:rFonts w:cs="Times New Roman" w:ascii="Times New Roman" w:hAnsi="Times New Roman"/>
          <w:i/>
          <w:sz w:val="22"/>
          <w:u w:val="single"/>
        </w:rPr>
      </w:r>
      <w:bookmarkStart w:id="0" w:name="StartOfMemo"/>
      <w:bookmarkStart w:id="1" w:name="StartOfMemo"/>
      <w:bookmarkEnd w:id="1"/>
    </w:p>
    <w:p>
      <w:pPr>
        <w:pStyle w:val="BodyText"/>
        <w:rPr>
          <w:rFonts w:ascii="Times New Roman" w:hAnsi="Times New Roman" w:cs="Times New Roman"/>
          <w:iCs/>
        </w:rPr>
      </w:pPr>
      <w:r>
        <w:rPr>
          <w:rFonts w:cs="Times New Roman" w:ascii="Times New Roman" w:hAnsi="Times New Roman"/>
          <w:iCs/>
        </w:rPr>
        <w:t>(Text of “Status of ENA Litigation” Report to Mark Haedicke dated November 27, 2000)</w:t>
      </w:r>
    </w:p>
    <w:p>
      <w:pPr>
        <w:pStyle w:val="Normal"/>
        <w:jc w:val="both"/>
        <w:rPr>
          <w:rFonts w:ascii="Times New Roman" w:hAnsi="Times New Roman" w:cs="Times New Roman"/>
          <w:i/>
          <w:i/>
          <w:iCs/>
          <w:u w:val="single"/>
        </w:rPr>
      </w:pPr>
      <w:r>
        <w:rPr>
          <w:rFonts w:cs="Times New Roman" w:ascii="Times New Roman" w:hAnsi="Times New Roman"/>
          <w:i/>
          <w:iCs/>
          <w:u w:val="single"/>
        </w:rPr>
      </w:r>
    </w:p>
    <w:p>
      <w:pPr>
        <w:pStyle w:val="Body"/>
        <w:ind w:start="0" w:end="0"/>
        <w:rPr>
          <w:b/>
        </w:rPr>
      </w:pPr>
      <w:r>
        <w:rPr>
          <w:b/>
        </w:rPr>
        <w:t>ACTIVE LITIGATION</w:t>
      </w:r>
    </w:p>
    <w:p>
      <w:pPr>
        <w:pStyle w:val="Body"/>
        <w:ind w:start="0" w:end="0"/>
        <w:rPr>
          <w:b/>
          <w:u w:val="single"/>
        </w:rPr>
      </w:pPr>
      <w:r>
        <w:rPr>
          <w:b/>
          <w:u w:val="single"/>
        </w:rPr>
      </w:r>
    </w:p>
    <w:p>
      <w:pPr>
        <w:pStyle w:val="Normal"/>
        <w:jc w:val="both"/>
        <w:rPr>
          <w:i/>
          <w:i/>
          <w:u w:val="single"/>
        </w:rPr>
      </w:pPr>
      <w:r>
        <w:rPr>
          <w:i/>
          <w:u w:val="single"/>
        </w:rPr>
        <w:t>Dow Waiver Litigation</w:t>
      </w:r>
    </w:p>
    <w:p>
      <w:pPr>
        <w:pStyle w:val="Normal"/>
        <w:jc w:val="both"/>
        <w:rPr/>
      </w:pPr>
      <w:r>
        <w:rPr/>
        <w:t>(Houston state court) (Susman Godfrey/Bracewell &amp; Patterson) (Vinson &amp; Elkins)</w:t>
      </w:r>
    </w:p>
    <w:p>
      <w:pPr>
        <w:pStyle w:val="Normal"/>
        <w:jc w:val="both"/>
        <w:rPr/>
      </w:pPr>
      <w:r>
        <w:rPr/>
      </w:r>
    </w:p>
    <w:p>
      <w:pPr>
        <w:pStyle w:val="Normal"/>
        <w:numPr>
          <w:ilvl w:val="0"/>
          <w:numId w:val="25"/>
        </w:numPr>
        <w:jc w:val="both"/>
        <w:rPr/>
      </w:pPr>
      <w:r>
        <w:rPr/>
        <w:t>Plaintiffs have filed a class action alleging that Houston Pipeline failed to take ratably from gas wells in West Texas.</w:t>
      </w:r>
    </w:p>
    <w:p>
      <w:pPr>
        <w:pStyle w:val="Normal"/>
        <w:numPr>
          <w:ilvl w:val="0"/>
          <w:numId w:val="25"/>
        </w:numPr>
        <w:jc w:val="both"/>
        <w:rPr/>
      </w:pPr>
      <w:r>
        <w:rPr/>
        <w:t>Plaintiffs allege $466 million in damages</w:t>
      </w:r>
    </w:p>
    <w:p>
      <w:pPr>
        <w:pStyle w:val="Normal"/>
        <w:numPr>
          <w:ilvl w:val="0"/>
          <w:numId w:val="25"/>
        </w:numPr>
        <w:jc w:val="both"/>
        <w:rPr/>
      </w:pPr>
      <w:r>
        <w:rPr/>
        <w:t>Our preliminary damage model indicates damages of $60 - $160 million if Plaintiffs recover on their claim.</w:t>
      </w:r>
    </w:p>
    <w:p>
      <w:pPr>
        <w:pStyle w:val="Normal"/>
        <w:numPr>
          <w:ilvl w:val="0"/>
          <w:numId w:val="25"/>
        </w:numPr>
        <w:jc w:val="both"/>
        <w:rPr/>
      </w:pPr>
      <w:r>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25"/>
        </w:numPr>
        <w:jc w:val="both"/>
        <w:rPr/>
      </w:pPr>
      <w:r>
        <w:rPr/>
        <w:t>The trial is expected within 12-24 months.</w:t>
      </w:r>
    </w:p>
    <w:p>
      <w:pPr>
        <w:pStyle w:val="Normal"/>
        <w:numPr>
          <w:ilvl w:val="0"/>
          <w:numId w:val="25"/>
        </w:numPr>
        <w:jc w:val="both"/>
        <w:rPr/>
      </w:pPr>
      <w:r>
        <w:rPr/>
        <w:t>On August 24</w:t>
      </w:r>
      <w:r>
        <w:rPr>
          <w:vertAlign w:val="superscript"/>
        </w:rPr>
        <w:t>th</w:t>
      </w:r>
      <w:r>
        <w:rPr/>
        <w:t xml:space="preserve"> the Court issued a preliminary ruling that the new class requested by the Plaintiffs could not be certified.  The Court also granted Enron’s motion for summary judgment on the Plaintiff’s Dow Waiver claim.  The Court denied Enron’s motion for summary judgment on the statute of limitations defense.</w:t>
      </w:r>
    </w:p>
    <w:p>
      <w:pPr>
        <w:pStyle w:val="Normal"/>
        <w:numPr>
          <w:ilvl w:val="0"/>
          <w:numId w:val="25"/>
        </w:numPr>
        <w:jc w:val="both"/>
        <w:rPr/>
      </w:pPr>
      <w:r>
        <w:rPr/>
        <w:t>The Plaintiffs motion for a rehearing was heard on October 31, 2000.  The Court will issue a ruling shortly.</w:t>
      </w:r>
    </w:p>
    <w:p>
      <w:pPr>
        <w:pStyle w:val="Normal"/>
        <w:ind w:start="720" w:end="0"/>
        <w:jc w:val="both"/>
        <w:rPr>
          <w:rFonts w:eastAsia="Tms Rmn;Times New Roman"/>
        </w:rPr>
      </w:pPr>
      <w:r>
        <w:rPr>
          <w:rFonts w:eastAsia="Tms Rmn;Times New Roman"/>
        </w:rPr>
        <w:t xml:space="preserve"> </w:t>
      </w:r>
    </w:p>
    <w:p>
      <w:pPr>
        <w:pStyle w:val="Normal"/>
        <w:jc w:val="both"/>
        <w:rPr>
          <w:i/>
          <w:i/>
          <w:u w:val="single"/>
        </w:rPr>
      </w:pPr>
      <w:r>
        <w:rPr>
          <w:i/>
          <w:u w:val="single"/>
        </w:rPr>
        <w:t>CATS Litigation</w:t>
      </w:r>
    </w:p>
    <w:p>
      <w:pPr>
        <w:pStyle w:val="Normal"/>
        <w:jc w:val="both"/>
        <w:rPr/>
      </w:pPr>
      <w:r>
        <w:rPr/>
        <w:t>(London Commercial Court) (Norton Rose)</w:t>
      </w:r>
    </w:p>
    <w:p>
      <w:pPr>
        <w:pStyle w:val="Normal"/>
        <w:jc w:val="both"/>
        <w:rPr/>
      </w:pPr>
      <w:r>
        <w:rPr/>
      </w:r>
    </w:p>
    <w:p>
      <w:pPr>
        <w:pStyle w:val="Normal"/>
        <w:numPr>
          <w:ilvl w:val="0"/>
          <w:numId w:val="25"/>
        </w:numPr>
        <w:jc w:val="both"/>
        <w:rPr/>
      </w:pPr>
      <w:r>
        <w:rPr/>
        <w:t>On Friday, July 30</w:t>
      </w:r>
      <w:r>
        <w:rPr>
          <w:vertAlign w:val="superscript"/>
        </w:rPr>
        <w:t>th</w:t>
      </w:r>
      <w:r>
        <w:rPr/>
        <w:t xml:space="preserve"> the appellate court reversed the lower court ruling and ordered the CATS parties to repay Enron approximately $130 million.</w:t>
      </w:r>
    </w:p>
    <w:p>
      <w:pPr>
        <w:pStyle w:val="Normal"/>
        <w:numPr>
          <w:ilvl w:val="0"/>
          <w:numId w:val="25"/>
        </w:numPr>
        <w:jc w:val="both"/>
        <w:rPr/>
      </w:pPr>
      <w:r>
        <w:rPr/>
        <w:t>An appeal to the House of Lords was filed on or about September 1, 1999.</w:t>
      </w:r>
    </w:p>
    <w:p>
      <w:pPr>
        <w:pStyle w:val="Normal"/>
        <w:numPr>
          <w:ilvl w:val="0"/>
          <w:numId w:val="25"/>
        </w:numPr>
        <w:jc w:val="both"/>
        <w:rPr/>
      </w:pPr>
      <w:r>
        <w:rPr/>
        <w:t>The House of Lords granted the CATS parties request to hear the entire appeal of the appellate court’s ruling.  The appeal is scheduled to be heard on March 12, 2001.</w:t>
      </w:r>
    </w:p>
    <w:p>
      <w:pPr>
        <w:pStyle w:val="Normal"/>
        <w:numPr>
          <w:ilvl w:val="0"/>
          <w:numId w:val="0"/>
        </w:numPr>
        <w:ind w:hanging="0" w:start="720" w:end="0"/>
        <w:jc w:val="both"/>
        <w:rPr/>
      </w:pPr>
      <w:r>
        <w:rPr/>
      </w:r>
    </w:p>
    <w:p>
      <w:pPr>
        <w:pStyle w:val="Normal"/>
        <w:jc w:val="both"/>
        <w:rPr>
          <w:i/>
          <w:i/>
          <w:u w:val="single"/>
        </w:rPr>
      </w:pPr>
      <w:r>
        <w:rPr>
          <w:i/>
          <w:u w:val="single"/>
        </w:rPr>
        <w:t>Enron Power Marketing, Inc. v. Tennessee Valley Authority</w:t>
      </w:r>
    </w:p>
    <w:p>
      <w:pPr>
        <w:pStyle w:val="Normal"/>
        <w:numPr>
          <w:ilvl w:val="0"/>
          <w:numId w:val="0"/>
        </w:numPr>
        <w:ind w:hanging="0" w:start="0"/>
        <w:jc w:val="both"/>
        <w:rPr/>
      </w:pPr>
      <w:r>
        <w:rPr/>
        <w:t>(Tennessee Federal District Court) (Gibbs &amp; Bruns)</w:t>
      </w:r>
    </w:p>
    <w:p>
      <w:pPr>
        <w:pStyle w:val="Normal"/>
        <w:numPr>
          <w:ilvl w:val="0"/>
          <w:numId w:val="0"/>
        </w:numPr>
        <w:ind w:hanging="0" w:start="0"/>
        <w:jc w:val="both"/>
        <w:rPr>
          <w:i/>
          <w:i/>
          <w:u w:val="single"/>
        </w:rPr>
      </w:pPr>
      <w:r>
        <w:rPr>
          <w:i/>
          <w:u w:val="single"/>
        </w:rPr>
      </w:r>
    </w:p>
    <w:p>
      <w:pPr>
        <w:pStyle w:val="Normal"/>
        <w:numPr>
          <w:ilvl w:val="0"/>
          <w:numId w:val="25"/>
        </w:numPr>
        <w:jc w:val="both"/>
        <w:rPr/>
      </w:pPr>
      <w:r>
        <w:rPr/>
        <w:t>EPMI filed a declaratory judgment action against TVA in Chattanooga, Tennessee, requesting that the court hold that EPMI can satisfy its delivery obligation to TVA by delivering energy to an inter-connecting utility.</w:t>
      </w:r>
    </w:p>
    <w:p>
      <w:pPr>
        <w:pStyle w:val="Normal"/>
        <w:numPr>
          <w:ilvl w:val="0"/>
          <w:numId w:val="25"/>
        </w:numPr>
        <w:jc w:val="both"/>
        <w:rPr>
          <w:i/>
          <w:i/>
          <w:u w:val="single"/>
        </w:rPr>
      </w:pPr>
      <w:r>
        <w:rPr/>
        <w:t>On January 27, 2000, EPMI terminated the MOPA.</w:t>
      </w:r>
    </w:p>
    <w:p>
      <w:pPr>
        <w:pStyle w:val="Normal"/>
        <w:numPr>
          <w:ilvl w:val="0"/>
          <w:numId w:val="12"/>
        </w:numPr>
        <w:jc w:val="both"/>
        <w:rPr>
          <w:i/>
          <w:i/>
          <w:u w:val="single"/>
        </w:rPr>
      </w:pPr>
      <w:r>
        <w:rPr/>
        <w:t>Also on January 27, 2000, EPMI filed two amendments to the existing lawsuit.  EPMI requested that the court declare that a "triggering event" has occurred and that EPMI is allowed to terminate the MOPA.  Secondly, EPMI filed a claim for damages based on TVA's unlawful actions that limited EPMI ability to act as a control area.</w:t>
      </w:r>
    </w:p>
    <w:p>
      <w:pPr>
        <w:pStyle w:val="Normal"/>
        <w:numPr>
          <w:ilvl w:val="0"/>
          <w:numId w:val="12"/>
        </w:numPr>
        <w:jc w:val="both"/>
        <w:rPr/>
      </w:pPr>
      <w:r>
        <w:rPr/>
        <w:t>On March 5, TVA filed an answer and counterclaim.  In its counterclaim, TVA requests monetary damages and injunctive relief for EPMI’s breach of the MOPA.</w:t>
      </w:r>
    </w:p>
    <w:p>
      <w:pPr>
        <w:pStyle w:val="Normal"/>
        <w:numPr>
          <w:ilvl w:val="0"/>
          <w:numId w:val="25"/>
        </w:numPr>
        <w:jc w:val="both"/>
        <w:rPr/>
      </w:pPr>
      <w:r>
        <w:rPr/>
        <w:t xml:space="preserve">The case is set for trial on October 12, 2001. </w:t>
      </w:r>
    </w:p>
    <w:p>
      <w:pPr>
        <w:pStyle w:val="Normal"/>
        <w:numPr>
          <w:ilvl w:val="0"/>
          <w:numId w:val="25"/>
        </w:numPr>
        <w:jc w:val="both"/>
        <w:rPr/>
      </w:pPr>
      <w:r>
        <w:rPr>
          <w:b/>
          <w:bCs/>
        </w:rPr>
        <w:t>The parties are in settlement negotiations.</w:t>
      </w:r>
    </w:p>
    <w:p>
      <w:pPr>
        <w:pStyle w:val="Normal"/>
        <w:ind w:start="720" w:end="0"/>
        <w:jc w:val="both"/>
        <w:rPr/>
      </w:pPr>
      <w:r>
        <w:rPr/>
      </w:r>
    </w:p>
    <w:p>
      <w:pPr>
        <w:pStyle w:val="Normal"/>
        <w:numPr>
          <w:ilvl w:val="0"/>
          <w:numId w:val="0"/>
        </w:numPr>
        <w:ind w:hanging="0" w:start="0"/>
        <w:jc w:val="both"/>
        <w:rPr>
          <w:i/>
          <w:i/>
          <w:u w:val="single"/>
        </w:rPr>
      </w:pPr>
      <w:r>
        <w:rPr>
          <w:i/>
          <w:u w:val="single"/>
        </w:rPr>
        <w:t>Glatzer v. Enron Corp. and Enron Finance Corp.</w:t>
      </w:r>
    </w:p>
    <w:p>
      <w:pPr>
        <w:pStyle w:val="Normal"/>
        <w:numPr>
          <w:ilvl w:val="0"/>
          <w:numId w:val="0"/>
        </w:numPr>
        <w:ind w:hanging="0" w:start="0"/>
        <w:jc w:val="both"/>
        <w:rPr/>
      </w:pPr>
      <w:r>
        <w:rPr/>
        <w:t>(New York state court) (Susman Godfrey)</w:t>
      </w:r>
    </w:p>
    <w:p>
      <w:pPr>
        <w:pStyle w:val="Normal"/>
        <w:numPr>
          <w:ilvl w:val="0"/>
          <w:numId w:val="0"/>
        </w:numPr>
        <w:ind w:hanging="0" w:start="0"/>
        <w:jc w:val="both"/>
        <w:rPr/>
      </w:pPr>
      <w:r>
        <w:rPr/>
      </w:r>
    </w:p>
    <w:p>
      <w:pPr>
        <w:pStyle w:val="Normal"/>
        <w:numPr>
          <w:ilvl w:val="0"/>
          <w:numId w:val="25"/>
        </w:numPr>
        <w:jc w:val="both"/>
        <w:rPr/>
      </w:pPr>
      <w:r>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25"/>
        </w:numPr>
        <w:jc w:val="both"/>
        <w:rPr/>
      </w:pPr>
      <w:r>
        <w:rPr/>
        <w:t>Plaintiff’s damages are unspecified, but he has offered to settle for $1 million</w:t>
      </w:r>
    </w:p>
    <w:p>
      <w:pPr>
        <w:pStyle w:val="Normal"/>
        <w:numPr>
          <w:ilvl w:val="0"/>
          <w:numId w:val="25"/>
        </w:numPr>
        <w:jc w:val="both"/>
        <w:rPr/>
      </w:pPr>
      <w:r>
        <w:rPr/>
        <w:t>ECT filed a motion for summary judgment on September 24, 1998.  Plaintiff filed a response on February 6.</w:t>
      </w:r>
    </w:p>
    <w:p>
      <w:pPr>
        <w:pStyle w:val="Normal"/>
        <w:numPr>
          <w:ilvl w:val="0"/>
          <w:numId w:val="25"/>
        </w:numPr>
        <w:jc w:val="both"/>
        <w:rPr/>
      </w:pPr>
      <w:r>
        <w:rPr/>
        <w:t xml:space="preserve">On July 14, 1999, the Court granted ECT’s motion for summary judgment. </w:t>
      </w:r>
    </w:p>
    <w:p>
      <w:pPr>
        <w:pStyle w:val="Normal"/>
        <w:numPr>
          <w:ilvl w:val="0"/>
          <w:numId w:val="25"/>
        </w:numPr>
        <w:jc w:val="both"/>
        <w:rPr>
          <w:i/>
          <w:i/>
          <w:u w:val="single"/>
        </w:rPr>
      </w:pPr>
      <w:r>
        <w:rPr/>
        <w:t>The plaintiff has appealed the judgment and all briefing before the Court of appeals is complete.  A decision is expected by the first quarter of 2001.</w:t>
      </w:r>
    </w:p>
    <w:p>
      <w:pPr>
        <w:pStyle w:val="Normal"/>
        <w:ind w:start="720" w:end="0"/>
        <w:jc w:val="both"/>
        <w:rPr>
          <w:i/>
          <w:i/>
          <w:u w:val="single"/>
        </w:rPr>
      </w:pPr>
      <w:r>
        <w:rPr>
          <w:i/>
          <w:u w:val="single"/>
        </w:rPr>
      </w:r>
    </w:p>
    <w:p>
      <w:pPr>
        <w:pStyle w:val="Normal"/>
        <w:ind w:start="720" w:end="0"/>
        <w:jc w:val="both"/>
        <w:rPr>
          <w:i/>
          <w:i/>
          <w:u w:val="single"/>
        </w:rPr>
      </w:pPr>
      <w:r>
        <w:rPr>
          <w:i/>
          <w:u w:val="single"/>
        </w:rPr>
      </w:r>
    </w:p>
    <w:p>
      <w:pPr>
        <w:pStyle w:val="Normal"/>
        <w:jc w:val="both"/>
        <w:rPr>
          <w:i/>
          <w:i/>
          <w:u w:val="single"/>
        </w:rPr>
      </w:pPr>
      <w:r>
        <w:rPr>
          <w:i/>
          <w:u w:val="single"/>
        </w:rPr>
        <w:t>EnSerCo, L.L.C.v. Drilling Rig Noram 253 and SAM Offshore, Ltd.</w:t>
      </w:r>
    </w:p>
    <w:p>
      <w:pPr>
        <w:pStyle w:val="Normal"/>
        <w:jc w:val="both"/>
        <w:rPr/>
      </w:pPr>
      <w:r>
        <w:rPr/>
        <w:t>(Southern District, Galveston Division) (Gardere Wynne Sewell &amp; Riggs)</w:t>
      </w:r>
    </w:p>
    <w:p>
      <w:pPr>
        <w:pStyle w:val="Normal"/>
        <w:jc w:val="both"/>
        <w:rPr/>
      </w:pPr>
      <w:r>
        <w:rPr/>
      </w:r>
    </w:p>
    <w:p>
      <w:pPr>
        <w:pStyle w:val="Normal"/>
        <w:numPr>
          <w:ilvl w:val="0"/>
          <w:numId w:val="25"/>
        </w:numPr>
        <w:jc w:val="both"/>
        <w:rPr/>
      </w:pPr>
      <w:r>
        <w:rPr/>
        <w:t>Sam Offshore defaulted on $15,500,000 Promissory Note</w:t>
      </w:r>
    </w:p>
    <w:p>
      <w:pPr>
        <w:pStyle w:val="Normal"/>
        <w:numPr>
          <w:ilvl w:val="0"/>
          <w:numId w:val="25"/>
        </w:numPr>
        <w:jc w:val="both"/>
        <w:rPr/>
      </w:pPr>
      <w:r>
        <w:rPr/>
        <w:t>Enserco seized the vessel on October 15, 1999.  The rig is located in Galveston</w:t>
      </w:r>
    </w:p>
    <w:p>
      <w:pPr>
        <w:pStyle w:val="Normal"/>
        <w:numPr>
          <w:ilvl w:val="0"/>
          <w:numId w:val="25"/>
        </w:numPr>
        <w:jc w:val="both"/>
        <w:rPr/>
      </w:pPr>
      <w:r>
        <w:rPr/>
        <w:t>In January Enserco filed suit against the guarantors of the Sam Offshore loan.  The guarantors are foreign companies.</w:t>
      </w:r>
    </w:p>
    <w:p>
      <w:pPr>
        <w:pStyle w:val="Normal"/>
        <w:numPr>
          <w:ilvl w:val="0"/>
          <w:numId w:val="25"/>
        </w:numPr>
        <w:jc w:val="both"/>
        <w:rPr/>
      </w:pPr>
      <w:r>
        <w:rPr/>
        <w:t>In February, Enserco purchased the rig in a judicial foreclosure sale for $1 million.  We are attempting to sell this rig.</w:t>
      </w:r>
    </w:p>
    <w:p>
      <w:pPr>
        <w:pStyle w:val="Normal"/>
        <w:numPr>
          <w:ilvl w:val="0"/>
          <w:numId w:val="25"/>
        </w:numPr>
        <w:jc w:val="both"/>
        <w:rPr/>
      </w:pPr>
      <w:r>
        <w:rPr/>
        <w:t>On June 9</w:t>
      </w:r>
      <w:r>
        <w:rPr>
          <w:vertAlign w:val="superscript"/>
        </w:rPr>
        <w:t>th</w:t>
      </w:r>
      <w:r>
        <w:rPr/>
        <w:t>, this case was called to trial.  Prior to the trial, the defendants agreed to a deficiency judgment in favor of Enserco.  Enserco agreed to dismiss fraudulent transfer claims against two defendants.</w:t>
      </w:r>
    </w:p>
    <w:p>
      <w:pPr>
        <w:pStyle w:val="Normal"/>
        <w:numPr>
          <w:ilvl w:val="0"/>
          <w:numId w:val="25"/>
        </w:numPr>
        <w:jc w:val="both"/>
        <w:rPr/>
      </w:pPr>
      <w:r>
        <w:rPr/>
        <w:t>We will now attempt to collect the deficiency judgment.</w:t>
      </w:r>
    </w:p>
    <w:p>
      <w:pPr>
        <w:pStyle w:val="Normal"/>
        <w:ind w:start="720" w:end="0"/>
        <w:jc w:val="both"/>
        <w:rPr>
          <w:b/>
        </w:rPr>
      </w:pPr>
      <w:r>
        <w:rPr>
          <w:b/>
        </w:rPr>
      </w:r>
    </w:p>
    <w:p>
      <w:pPr>
        <w:pStyle w:val="Heading6"/>
        <w:keepNext w:val="false"/>
        <w:ind w:hanging="0" w:start="0"/>
        <w:rPr>
          <w:b/>
          <w:u w:val="single"/>
        </w:rPr>
      </w:pPr>
      <w:r>
        <w:rPr>
          <w:b/>
          <w:u w:val="single"/>
        </w:rPr>
      </w:r>
    </w:p>
    <w:p>
      <w:pPr>
        <w:pStyle w:val="Normal"/>
        <w:jc w:val="both"/>
        <w:rPr>
          <w:rFonts w:ascii="Times New Roman" w:hAnsi="Times New Roman" w:cs="Times New Roman"/>
          <w:i/>
          <w:i/>
          <w:u w:val="single"/>
        </w:rPr>
      </w:pPr>
      <w:r>
        <w:rPr>
          <w:rFonts w:cs="Times New Roman" w:ascii="Times New Roman" w:hAnsi="Times New Roman"/>
          <w:i/>
          <w:u w:val="single"/>
        </w:rPr>
        <w:t>Nakonthai Strip Mill (NSM) Thailand</w:t>
      </w:r>
    </w:p>
    <w:p>
      <w:pPr>
        <w:pStyle w:val="Subject"/>
        <w:tabs>
          <w:tab w:val="clear" w:pos="720"/>
          <w:tab w:val="left" w:pos="540" w:leader="none"/>
        </w:tabs>
        <w:rPr>
          <w:rFonts w:ascii="Times New Roman" w:hAnsi="Times New Roman" w:cs="Times New Roman"/>
        </w:rPr>
      </w:pPr>
      <w:r>
        <w:rPr>
          <w:rFonts w:cs="Times New Roman" w:ascii="Times New Roman" w:hAnsi="Times New Roman"/>
        </w:rPr>
        <w:t>(Los Angeles State Court) (Millbank, Tweed)</w:t>
      </w:r>
    </w:p>
    <w:p>
      <w:pPr>
        <w:pStyle w:val="Normal"/>
        <w:rPr>
          <w:rFonts w:ascii="Times New Roman" w:hAnsi="Times New Roman" w:cs="Times New Roman"/>
        </w:rPr>
      </w:pPr>
      <w:r>
        <w:rPr>
          <w:rFonts w:cs="Times New Roman" w:ascii="Times New Roman" w:hAnsi="Times New Roman"/>
        </w:rPr>
      </w:r>
    </w:p>
    <w:p>
      <w:pPr>
        <w:pStyle w:val="Normal"/>
        <w:numPr>
          <w:ilvl w:val="0"/>
          <w:numId w:val="25"/>
        </w:numPr>
        <w:jc w:val="both"/>
        <w:rPr/>
      </w:pPr>
      <w:r>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25"/>
        </w:numPr>
        <w:jc w:val="both"/>
        <w:rPr/>
      </w:pPr>
      <w:r>
        <w:rPr/>
        <w:t>ECT Securities was an underwriter for approximately $25 million of the bonds and may have liability for any misrepresentations contained in the offering memorandum.</w:t>
      </w:r>
    </w:p>
    <w:p>
      <w:pPr>
        <w:pStyle w:val="Normal"/>
        <w:numPr>
          <w:ilvl w:val="0"/>
          <w:numId w:val="25"/>
        </w:numPr>
        <w:jc w:val="both"/>
        <w:rPr/>
      </w:pPr>
      <w:r>
        <w:rPr/>
        <w:t>ECT is working with NSM bondholders and equity holders to restructure the company’s obligations. The proposed restructuring plan will probably include a release of most, but not all, potential claims against ECT Securities.</w:t>
      </w:r>
    </w:p>
    <w:p>
      <w:pPr>
        <w:pStyle w:val="Normal"/>
        <w:numPr>
          <w:ilvl w:val="0"/>
          <w:numId w:val="25"/>
        </w:numPr>
        <w:jc w:val="both"/>
        <w:rPr/>
      </w:pPr>
      <w:r>
        <w:rPr/>
        <w:t>Several lawsuits have been filed against our co-underwriters claiming alleged misrepresentations in the offering memorandum.  The lawsuits are pending in Minneapolis, New Jersey, Chicago and Los Angeles.</w:t>
      </w:r>
    </w:p>
    <w:p>
      <w:pPr>
        <w:pStyle w:val="Normal"/>
        <w:numPr>
          <w:ilvl w:val="0"/>
          <w:numId w:val="25"/>
        </w:numPr>
        <w:jc w:val="both"/>
        <w:rPr/>
      </w:pPr>
      <w:r>
        <w:rPr/>
        <w:t>ECT Securities has been sued by Farrollan and Legg Mason in Los Angeles State District Court.</w:t>
      </w:r>
    </w:p>
    <w:p>
      <w:pPr>
        <w:pStyle w:val="Normal"/>
        <w:numPr>
          <w:ilvl w:val="0"/>
          <w:numId w:val="25"/>
        </w:numPr>
        <w:jc w:val="both"/>
        <w:rPr/>
      </w:pPr>
      <w:r>
        <w:rPr/>
        <w:t>Extensive discovery has been conducted to date.</w:t>
      </w:r>
    </w:p>
    <w:p>
      <w:pPr>
        <w:pStyle w:val="Normal"/>
        <w:rPr/>
      </w:pPr>
      <w:r>
        <w:rPr/>
      </w:r>
    </w:p>
    <w:p>
      <w:pPr>
        <w:pStyle w:val="Normal"/>
        <w:jc w:val="both"/>
        <w:rPr>
          <w:i/>
          <w:i/>
          <w:u w:val="single"/>
        </w:rPr>
      </w:pPr>
      <w:r>
        <w:rPr>
          <w:i/>
          <w:u w:val="single"/>
        </w:rPr>
        <w:t>Grynberg</w:t>
      </w:r>
    </w:p>
    <w:p>
      <w:pPr>
        <w:pStyle w:val="Footer"/>
        <w:tabs>
          <w:tab w:val="clear" w:pos="4320"/>
          <w:tab w:val="clear" w:pos="8640"/>
          <w:tab w:val="left" w:pos="540" w:leader="none"/>
        </w:tabs>
        <w:rPr>
          <w:rFonts w:ascii="Times New Roman" w:hAnsi="Times New Roman" w:cs="Times New Roman"/>
        </w:rPr>
      </w:pPr>
      <w:r>
        <w:rPr>
          <w:rFonts w:cs="Times New Roman" w:ascii="Times New Roman" w:hAnsi="Times New Roman"/>
        </w:rPr>
        <w:t>(Wyoming Federal Court) (Gibbs &amp; Bruns) (Vinson &amp; Elkins)</w:t>
      </w:r>
    </w:p>
    <w:p>
      <w:pPr>
        <w:pStyle w:val="Normal"/>
        <w:ind w:start="720" w:end="0"/>
        <w:jc w:val="both"/>
        <w:rPr>
          <w:rFonts w:ascii="Times New Roman" w:hAnsi="Times New Roman" w:cs="Times New Roman"/>
        </w:rPr>
      </w:pPr>
      <w:r>
        <w:rPr>
          <w:rFonts w:cs="Times New Roman" w:ascii="Times New Roman" w:hAnsi="Times New Roman"/>
        </w:rPr>
      </w:r>
    </w:p>
    <w:p>
      <w:pPr>
        <w:pStyle w:val="Normal"/>
        <w:numPr>
          <w:ilvl w:val="0"/>
          <w:numId w:val="25"/>
        </w:numPr>
        <w:jc w:val="both"/>
        <w:rPr/>
      </w:pPr>
      <w:r>
        <w:rPr/>
        <w:t>Qui tam action brought against HPL, LRC, and all pipeline companies in America alleging fraudulent practices in the measurement of gas.</w:t>
      </w:r>
    </w:p>
    <w:p>
      <w:pPr>
        <w:pStyle w:val="Normal"/>
        <w:numPr>
          <w:ilvl w:val="0"/>
          <w:numId w:val="25"/>
        </w:numPr>
        <w:jc w:val="both"/>
        <w:rPr/>
      </w:pPr>
      <w:r>
        <w:rPr/>
        <w:t>All of the cases have been consolidated in Wyoming.</w:t>
      </w:r>
    </w:p>
    <w:p>
      <w:pPr>
        <w:pStyle w:val="Normal"/>
        <w:numPr>
          <w:ilvl w:val="0"/>
          <w:numId w:val="25"/>
        </w:numPr>
        <w:jc w:val="both"/>
        <w:rPr/>
      </w:pPr>
      <w:r>
        <w:rPr/>
        <w:t xml:space="preserve">On March 18, the court heard oral arguments on the defendants’ motion to dismiss for failure to plead fraud with particularity.  The Court has not yet issued a decision. </w:t>
      </w:r>
    </w:p>
    <w:p>
      <w:pPr>
        <w:pStyle w:val="Heading6"/>
        <w:keepNext w:val="false"/>
        <w:ind w:hanging="0" w:start="0"/>
        <w:rPr>
          <w:u w:val="single"/>
        </w:rPr>
      </w:pPr>
      <w:r>
        <w:rPr>
          <w:u w:val="single"/>
        </w:rPr>
      </w:r>
    </w:p>
    <w:p>
      <w:pPr>
        <w:pStyle w:val="Heading6"/>
        <w:keepNext w:val="false"/>
        <w:ind w:hanging="0" w:start="0"/>
        <w:rPr>
          <w:u w:val="single"/>
        </w:rPr>
      </w:pPr>
      <w:r>
        <w:rPr>
          <w:u w:val="single"/>
        </w:rPr>
        <w:t>Qunique Case</w:t>
      </w:r>
    </w:p>
    <w:p>
      <w:pPr>
        <w:pStyle w:val="Footer"/>
        <w:tabs>
          <w:tab w:val="clear" w:pos="4320"/>
          <w:tab w:val="clear" w:pos="8640"/>
          <w:tab w:val="left" w:pos="540" w:leader="none"/>
        </w:tabs>
        <w:rPr/>
      </w:pPr>
      <w:r>
        <w:rPr/>
        <w:t>(Kansas State &amp; Federal Court) (Gibbs &amp; Bruns) (Vinson &amp; Elkins)</w:t>
      </w:r>
    </w:p>
    <w:p>
      <w:pPr>
        <w:pStyle w:val="Normal"/>
        <w:ind w:start="720" w:end="0"/>
        <w:jc w:val="both"/>
        <w:rPr/>
      </w:pPr>
      <w:r>
        <w:rPr/>
      </w:r>
    </w:p>
    <w:p>
      <w:pPr>
        <w:pStyle w:val="Normal"/>
        <w:numPr>
          <w:ilvl w:val="0"/>
          <w:numId w:val="25"/>
        </w:numPr>
        <w:jc w:val="both"/>
        <w:rPr/>
      </w:pPr>
      <w:r>
        <w:rPr/>
        <w:t>This is a national class action filed in State District Court in Kansas on behalf of all gas producers and royalty interest owners alleging fraudulent practices in the measurement of gas.</w:t>
      </w:r>
    </w:p>
    <w:p>
      <w:pPr>
        <w:pStyle w:val="Normal"/>
        <w:numPr>
          <w:ilvl w:val="0"/>
          <w:numId w:val="25"/>
        </w:numPr>
        <w:jc w:val="both"/>
        <w:rPr/>
      </w:pPr>
      <w:r>
        <w:rPr/>
        <w:t>Enron removed the case to the Federal District Court of Kansas City alleging Federal Question jurisdiction.</w:t>
      </w:r>
    </w:p>
    <w:p>
      <w:pPr>
        <w:pStyle w:val="Normal"/>
        <w:numPr>
          <w:ilvl w:val="0"/>
          <w:numId w:val="25"/>
        </w:numPr>
        <w:jc w:val="both"/>
        <w:rPr/>
      </w:pPr>
      <w:r>
        <w:rPr/>
        <w:t>Plaintiffs have filed a motion to remand to State District Court.</w:t>
      </w:r>
    </w:p>
    <w:p>
      <w:pPr>
        <w:pStyle w:val="Normal"/>
        <w:numPr>
          <w:ilvl w:val="0"/>
          <w:numId w:val="25"/>
        </w:numPr>
        <w:jc w:val="both"/>
        <w:rPr/>
      </w:pPr>
      <w:r>
        <w:rPr/>
        <w:t xml:space="preserve">All proceedings have been stayed pending the Court’s consideration of the motion to remand. </w:t>
      </w:r>
    </w:p>
    <w:p>
      <w:pPr>
        <w:pStyle w:val="Normal"/>
        <w:numPr>
          <w:ilvl w:val="0"/>
          <w:numId w:val="25"/>
        </w:numPr>
        <w:jc w:val="both"/>
        <w:rPr/>
      </w:pPr>
      <w:r>
        <w:rPr/>
        <w:t xml:space="preserve">On April 12th, the Multi-District Litigation Panel transferred this action to the Federal District Court in Wyoming. </w:t>
      </w:r>
    </w:p>
    <w:p>
      <w:pPr>
        <w:pStyle w:val="Normal"/>
        <w:numPr>
          <w:ilvl w:val="0"/>
          <w:numId w:val="25"/>
        </w:numPr>
        <w:jc w:val="both"/>
        <w:rPr/>
      </w:pPr>
      <w:r>
        <w:rPr/>
        <w:t>The defendants have filed Rule 9b and 12b motions to dismiss.  The Court has not yet issued a decision.</w:t>
      </w:r>
    </w:p>
    <w:p>
      <w:pPr>
        <w:pStyle w:val="Normal"/>
        <w:ind w:start="720" w:end="0"/>
        <w:jc w:val="both"/>
        <w:rPr>
          <w:b/>
          <w:bCs/>
        </w:rPr>
      </w:pPr>
      <w:r>
        <w:rPr>
          <w:b/>
          <w:bCs/>
        </w:rPr>
      </w:r>
    </w:p>
    <w:p>
      <w:pPr>
        <w:pStyle w:val="Heading6"/>
        <w:keepNext w:val="false"/>
        <w:ind w:hanging="0" w:start="0"/>
        <w:rPr>
          <w:rFonts w:ascii="Times New Roman" w:hAnsi="Times New Roman" w:cs="Times New Roman"/>
          <w:u w:val="single"/>
        </w:rPr>
      </w:pPr>
      <w:r>
        <w:rPr>
          <w:rFonts w:cs="Times New Roman" w:ascii="Times New Roman" w:hAnsi="Times New Roman"/>
          <w:u w:val="single"/>
        </w:rPr>
        <w:t>Enron Power Marketing v. Calpine Corp.</w:t>
      </w:r>
    </w:p>
    <w:p>
      <w:pPr>
        <w:pStyle w:val="Normal"/>
        <w:jc w:val="both"/>
        <w:rPr>
          <w:rFonts w:ascii="Times New Roman" w:hAnsi="Times New Roman" w:cs="Times New Roman"/>
        </w:rPr>
      </w:pPr>
      <w:r>
        <w:rPr>
          <w:rFonts w:cs="Times New Roman" w:ascii="Times New Roman" w:hAnsi="Times New Roman"/>
        </w:rPr>
        <w:t>(Houston Federal District Court) (Bill Ogden)</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4"/>
        </w:numPr>
        <w:jc w:val="both"/>
        <w:rPr/>
      </w:pPr>
      <w:r>
        <w:rPr/>
        <w:t>EPMI filed a lawsuit against Calpine alleging that Calpine breached its contract with EPMI to assume certain power contracts EPMI had with the Lower Colorado River Authority.</w:t>
      </w:r>
    </w:p>
    <w:p>
      <w:pPr>
        <w:pStyle w:val="Normal"/>
        <w:numPr>
          <w:ilvl w:val="0"/>
          <w:numId w:val="24"/>
        </w:numPr>
        <w:jc w:val="both"/>
        <w:rPr/>
      </w:pPr>
      <w:r>
        <w:rPr/>
        <w:t>EPMI's damages will depend on the cost of covering Calpine's position.  The damages are estimated to be $2.4-7.2 million.</w:t>
      </w:r>
    </w:p>
    <w:p>
      <w:pPr>
        <w:pStyle w:val="Normal"/>
        <w:numPr>
          <w:ilvl w:val="0"/>
          <w:numId w:val="24"/>
        </w:numPr>
        <w:jc w:val="both"/>
        <w:rPr/>
      </w:pPr>
      <w:r>
        <w:rPr/>
        <w:t>On March 6, 2000, Calpine filed an answer and removed this case to Federal Court.  The preliminary hearing before the court is scheduled on July 21</w:t>
      </w:r>
      <w:r>
        <w:rPr>
          <w:vertAlign w:val="superscript"/>
        </w:rPr>
        <w:t>st</w:t>
      </w:r>
      <w:r>
        <w:rPr/>
        <w:t>.</w:t>
      </w:r>
    </w:p>
    <w:p>
      <w:pPr>
        <w:pStyle w:val="Normal"/>
        <w:numPr>
          <w:ilvl w:val="0"/>
          <w:numId w:val="24"/>
        </w:numPr>
        <w:jc w:val="both"/>
        <w:rPr>
          <w:bCs/>
        </w:rPr>
      </w:pPr>
      <w:r>
        <w:rPr>
          <w:bCs/>
        </w:rPr>
        <w:t>Discovery is proceeding.</w:t>
      </w:r>
    </w:p>
    <w:p>
      <w:pPr>
        <w:pStyle w:val="Normal"/>
        <w:jc w:val="both"/>
        <w:rPr>
          <w:bCs/>
        </w:rPr>
      </w:pPr>
      <w:r>
        <w:rPr>
          <w:bCs/>
        </w:rPr>
      </w:r>
    </w:p>
    <w:p>
      <w:pPr>
        <w:pStyle w:val="Heading6"/>
        <w:keepNext w:val="false"/>
        <w:ind w:hanging="0" w:start="0"/>
        <w:rPr>
          <w:rFonts w:ascii="Times New Roman" w:hAnsi="Times New Roman" w:cs="Times New Roman"/>
          <w:u w:val="single"/>
        </w:rPr>
      </w:pPr>
      <w:r>
        <w:rPr>
          <w:rFonts w:cs="Times New Roman" w:ascii="Times New Roman" w:hAnsi="Times New Roman"/>
          <w:u w:val="single"/>
        </w:rPr>
        <w:t>PCA v. Enron Power Marketing</w:t>
      </w:r>
    </w:p>
    <w:p>
      <w:pPr>
        <w:pStyle w:val="Normal"/>
        <w:jc w:val="both"/>
        <w:rPr/>
      </w:pPr>
      <w:r>
        <w:rPr/>
        <w:t>(Connecticut Federal District Court) (Weil Gotshal &amp; Manges – Melanie Gray)</w:t>
      </w:r>
    </w:p>
    <w:p>
      <w:pPr>
        <w:pStyle w:val="Normal"/>
        <w:jc w:val="both"/>
        <w:rPr/>
      </w:pPr>
      <w:r>
        <w:rPr/>
      </w:r>
    </w:p>
    <w:p>
      <w:pPr>
        <w:pStyle w:val="Normal"/>
        <w:numPr>
          <w:ilvl w:val="0"/>
          <w:numId w:val="24"/>
        </w:numPr>
        <w:jc w:val="both"/>
        <w:rPr/>
      </w:pPr>
      <w:r>
        <w:rPr/>
        <w:t>Lawsuit filed by the PCA bankruptcy trustee alleging wrongful termination of PCA’s power contract.</w:t>
      </w:r>
    </w:p>
    <w:p>
      <w:pPr>
        <w:pStyle w:val="Normal"/>
        <w:numPr>
          <w:ilvl w:val="0"/>
          <w:numId w:val="24"/>
        </w:numPr>
        <w:jc w:val="both"/>
        <w:rPr/>
      </w:pPr>
      <w:r>
        <w:rPr/>
        <w:t>Alleged damages are between $4-12 million.</w:t>
      </w:r>
    </w:p>
    <w:p>
      <w:pPr>
        <w:pStyle w:val="Normal"/>
        <w:numPr>
          <w:ilvl w:val="0"/>
          <w:numId w:val="24"/>
        </w:numPr>
        <w:jc w:val="both"/>
        <w:rPr/>
      </w:pPr>
      <w:r>
        <w:rPr/>
        <w:t>Plaintiffs have requested a conference to discuss settlement.</w:t>
      </w:r>
    </w:p>
    <w:p>
      <w:pPr>
        <w:pStyle w:val="Heading1"/>
        <w:keepNext w:val="false"/>
        <w:rPr/>
      </w:pPr>
      <w:r>
        <w:rPr/>
      </w:r>
    </w:p>
    <w:p>
      <w:pPr>
        <w:pStyle w:val="Heading6"/>
        <w:keepNext w:val="false"/>
        <w:ind w:hanging="0" w:start="0"/>
        <w:rPr>
          <w:rFonts w:ascii="Times New Roman" w:hAnsi="Times New Roman" w:cs="Times New Roman"/>
          <w:u w:val="single"/>
        </w:rPr>
      </w:pPr>
      <w:r>
        <w:rPr>
          <w:rFonts w:cs="Times New Roman" w:ascii="Times New Roman" w:hAnsi="Times New Roman"/>
          <w:u w:val="single"/>
        </w:rPr>
        <w:t>Enron v. Antarra Resources</w:t>
      </w:r>
    </w:p>
    <w:p>
      <w:pPr>
        <w:pStyle w:val="Normal"/>
        <w:jc w:val="both"/>
        <w:rPr/>
      </w:pPr>
      <w:r>
        <w:rPr/>
        <w:t>(Harris County District Court) (Buck, Kennan &amp; Owens – Randy Owens)</w:t>
      </w:r>
    </w:p>
    <w:p>
      <w:pPr>
        <w:pStyle w:val="Normal"/>
        <w:jc w:val="both"/>
        <w:rPr/>
      </w:pPr>
      <w:r>
        <w:rPr/>
      </w:r>
    </w:p>
    <w:p>
      <w:pPr>
        <w:pStyle w:val="Normal"/>
        <w:numPr>
          <w:ilvl w:val="0"/>
          <w:numId w:val="24"/>
        </w:numPr>
        <w:jc w:val="both"/>
        <w:rPr/>
      </w:pPr>
      <w:r>
        <w:rPr/>
        <w:t>Badack Resources, a subsidiary of Antarra, defaulted on a gas sales agreement with ENA.</w:t>
      </w:r>
    </w:p>
    <w:p>
      <w:pPr>
        <w:pStyle w:val="Normal"/>
        <w:numPr>
          <w:ilvl w:val="0"/>
          <w:numId w:val="24"/>
        </w:numPr>
        <w:jc w:val="both"/>
        <w:rPr/>
      </w:pPr>
      <w:r>
        <w:rPr/>
        <w:t>ENA’s damages are approximately $8.4 million.</w:t>
      </w:r>
    </w:p>
    <w:p>
      <w:pPr>
        <w:pStyle w:val="Normal"/>
        <w:numPr>
          <w:ilvl w:val="0"/>
          <w:numId w:val="24"/>
        </w:numPr>
        <w:jc w:val="both"/>
        <w:rPr/>
      </w:pPr>
      <w:r>
        <w:rPr/>
        <w:t>Antarra was sued under a corporate guaranty.</w:t>
      </w:r>
    </w:p>
    <w:p>
      <w:pPr>
        <w:pStyle w:val="Normal"/>
        <w:numPr>
          <w:ilvl w:val="0"/>
          <w:numId w:val="24"/>
        </w:numPr>
        <w:jc w:val="both"/>
        <w:rPr/>
      </w:pPr>
      <w:r>
        <w:rPr/>
        <w:t>Suit was filed on August 17</w:t>
      </w:r>
      <w:r>
        <w:rPr>
          <w:vertAlign w:val="superscript"/>
        </w:rPr>
        <w:t>th</w:t>
      </w:r>
      <w:r>
        <w:rPr/>
        <w:t>.</w:t>
      </w:r>
    </w:p>
    <w:p>
      <w:pPr>
        <w:pStyle w:val="Normal"/>
        <w:numPr>
          <w:ilvl w:val="0"/>
          <w:numId w:val="24"/>
        </w:numPr>
        <w:jc w:val="both"/>
        <w:rPr>
          <w:b/>
          <w:bCs/>
        </w:rPr>
      </w:pPr>
      <w:r>
        <w:rPr/>
        <w:t xml:space="preserve">ENA has filed a motion for summary judgment, which is scheduled to be heard on </w:t>
      </w:r>
      <w:r>
        <w:rPr>
          <w:b/>
          <w:bCs/>
        </w:rPr>
        <w:t>December 6, 2000.</w:t>
      </w:r>
    </w:p>
    <w:p>
      <w:pPr>
        <w:pStyle w:val="Normal"/>
        <w:jc w:val="both"/>
        <w:rPr>
          <w:b/>
          <w:bCs/>
        </w:rPr>
      </w:pPr>
      <w:r>
        <w:rPr>
          <w:b/>
          <w:bCs/>
        </w:rPr>
      </w:r>
    </w:p>
    <w:p>
      <w:pPr>
        <w:pStyle w:val="Normal"/>
        <w:jc w:val="both"/>
        <w:rPr/>
      </w:pPr>
      <w:r>
        <w:rPr/>
      </w:r>
    </w:p>
    <w:p>
      <w:pPr>
        <w:pStyle w:val="Normal"/>
        <w:jc w:val="both"/>
        <w:rPr/>
      </w:pPr>
      <w:r>
        <w:rPr/>
      </w:r>
    </w:p>
    <w:p>
      <w:pPr>
        <w:pStyle w:val="Heading6"/>
        <w:keepNext w:val="false"/>
        <w:ind w:hanging="0" w:start="0"/>
        <w:rPr>
          <w:rFonts w:ascii="Times New Roman" w:hAnsi="Times New Roman" w:cs="Times New Roman"/>
          <w:u w:val="single"/>
        </w:rPr>
      </w:pPr>
      <w:r>
        <w:rPr>
          <w:rFonts w:cs="Times New Roman" w:ascii="Times New Roman" w:hAnsi="Times New Roman"/>
          <w:u w:val="single"/>
        </w:rPr>
        <w:t>Wright v. Enron Corporation</w:t>
      </w:r>
    </w:p>
    <w:p>
      <w:pPr>
        <w:pStyle w:val="Normal"/>
        <w:jc w:val="both"/>
        <w:rPr/>
      </w:pPr>
      <w:r>
        <w:rPr/>
        <w:t>(Gibbs &amp; Bruns/Vinson &amp;  Elkins)</w:t>
      </w:r>
    </w:p>
    <w:p>
      <w:pPr>
        <w:pStyle w:val="Normal"/>
        <w:jc w:val="both"/>
        <w:rPr/>
      </w:pPr>
      <w:r>
        <w:rPr/>
      </w:r>
    </w:p>
    <w:p>
      <w:pPr>
        <w:pStyle w:val="Normal"/>
        <w:numPr>
          <w:ilvl w:val="0"/>
          <w:numId w:val="24"/>
        </w:numPr>
        <w:jc w:val="both"/>
        <w:rPr/>
      </w:pPr>
      <w:r>
        <w:rPr/>
        <w:t>Qui tam case alleging that all marketing affiliates, including ECT, were created to defraud the federal government of royalty obligations.</w:t>
      </w:r>
    </w:p>
    <w:p>
      <w:pPr>
        <w:pStyle w:val="Normal"/>
        <w:numPr>
          <w:ilvl w:val="0"/>
          <w:numId w:val="24"/>
        </w:numPr>
        <w:jc w:val="both"/>
        <w:rPr/>
      </w:pPr>
      <w:r>
        <w:rPr/>
        <w:t xml:space="preserve">This case has been consolidated with the </w:t>
      </w:r>
      <w:r>
        <w:rPr>
          <w:u w:val="single"/>
        </w:rPr>
        <w:t>Grynberg</w:t>
      </w:r>
      <w:r>
        <w:rPr/>
        <w:t xml:space="preserve"> case in Wyoming.</w:t>
      </w:r>
    </w:p>
    <w:p>
      <w:pPr>
        <w:pStyle w:val="Normal"/>
        <w:numPr>
          <w:ilvl w:val="0"/>
          <w:numId w:val="24"/>
        </w:numPr>
        <w:jc w:val="both"/>
        <w:rPr/>
      </w:pPr>
      <w:r>
        <w:rPr/>
        <w:t>The Department of Justice has not decided whether to intervene in this case.</w:t>
      </w:r>
    </w:p>
    <w:p>
      <w:pPr>
        <w:pStyle w:val="Body"/>
        <w:ind w:start="0" w:end="0"/>
        <w:rPr>
          <w:b/>
        </w:rPr>
      </w:pPr>
      <w:r>
        <w:rPr>
          <w:b/>
        </w:rPr>
      </w:r>
    </w:p>
    <w:p>
      <w:pPr>
        <w:pStyle w:val="Body"/>
        <w:ind w:start="0" w:end="0"/>
        <w:rPr>
          <w:b/>
        </w:rPr>
      </w:pPr>
      <w:r>
        <w:rPr>
          <w:b/>
        </w:rPr>
        <w:t>POTENTIAL LITIGATION</w:t>
      </w:r>
    </w:p>
    <w:p>
      <w:pPr>
        <w:pStyle w:val="Body"/>
        <w:ind w:start="0" w:end="0"/>
        <w:rPr>
          <w:b/>
          <w:u w:val="single"/>
        </w:rPr>
      </w:pPr>
      <w:r>
        <w:rPr>
          <w:b/>
          <w:u w:val="single"/>
        </w:rPr>
      </w:r>
    </w:p>
    <w:p>
      <w:pPr>
        <w:pStyle w:val="Normal"/>
        <w:jc w:val="both"/>
        <w:rPr>
          <w:bCs/>
          <w:i/>
          <w:i/>
          <w:u w:val="single"/>
        </w:rPr>
      </w:pPr>
      <w:r>
        <w:rPr>
          <w:bCs/>
          <w:i/>
          <w:u w:val="single"/>
        </w:rPr>
        <w:t>Citrus v. Duke LNG Sales Dispute</w:t>
      </w:r>
    </w:p>
    <w:p>
      <w:pPr>
        <w:pStyle w:val="Normal"/>
        <w:jc w:val="both"/>
        <w:rPr>
          <w:bCs/>
        </w:rPr>
      </w:pPr>
      <w:r>
        <w:rPr>
          <w:bCs/>
        </w:rPr>
        <w:t>(Susman Godfrey/Neal Manne)</w:t>
      </w:r>
    </w:p>
    <w:p>
      <w:pPr>
        <w:pStyle w:val="Normal"/>
        <w:jc w:val="both"/>
        <w:rPr>
          <w:bCs/>
        </w:rPr>
      </w:pPr>
      <w:r>
        <w:rPr>
          <w:bCs/>
        </w:rPr>
      </w:r>
    </w:p>
    <w:p>
      <w:pPr>
        <w:pStyle w:val="Normal"/>
        <w:numPr>
          <w:ilvl w:val="0"/>
          <w:numId w:val="24"/>
        </w:numPr>
        <w:jc w:val="both"/>
        <w:rPr>
          <w:bCs/>
        </w:rPr>
      </w:pPr>
      <w:r>
        <w:rPr>
          <w:bCs/>
        </w:rPr>
        <w:t>Duke has initiated the price renegotiation provision of the long term LNG sales agreement between Duke and Citrus.</w:t>
      </w:r>
    </w:p>
    <w:p>
      <w:pPr>
        <w:pStyle w:val="Normal"/>
        <w:numPr>
          <w:ilvl w:val="0"/>
          <w:numId w:val="24"/>
        </w:numPr>
        <w:jc w:val="both"/>
        <w:rPr>
          <w:bCs/>
        </w:rPr>
      </w:pPr>
      <w:r>
        <w:rPr>
          <w:bCs/>
        </w:rPr>
        <w:t>If the parties are unsuccessful in their renegotiations, they are required to submit to a baseball arbitration to resolve any dispute about the new price Citrus will pay Duke for the LNG.</w:t>
      </w:r>
    </w:p>
    <w:p>
      <w:pPr>
        <w:pStyle w:val="Normal"/>
        <w:numPr>
          <w:ilvl w:val="0"/>
          <w:numId w:val="24"/>
        </w:numPr>
        <w:jc w:val="both"/>
        <w:rPr>
          <w:bCs/>
        </w:rPr>
      </w:pPr>
      <w:r>
        <w:rPr>
          <w:bCs/>
        </w:rPr>
        <w:t>Duke has argued that the price caps under the sales agreement are void.</w:t>
      </w:r>
    </w:p>
    <w:p>
      <w:pPr>
        <w:pStyle w:val="Normal"/>
        <w:numPr>
          <w:ilvl w:val="0"/>
          <w:numId w:val="24"/>
        </w:numPr>
        <w:jc w:val="both"/>
        <w:rPr>
          <w:bCs/>
        </w:rPr>
      </w:pPr>
      <w:r>
        <w:rPr>
          <w:b/>
        </w:rPr>
        <w:t>The parties have exchanged initial positions.  It is doubtful that the parties will avoid arbitration.</w:t>
      </w:r>
    </w:p>
    <w:p>
      <w:pPr>
        <w:pStyle w:val="Normal"/>
        <w:jc w:val="both"/>
        <w:rPr>
          <w:bCs/>
        </w:rPr>
      </w:pPr>
      <w:r>
        <w:rPr>
          <w:bCs/>
        </w:rPr>
      </w:r>
    </w:p>
    <w:p>
      <w:pPr>
        <w:pStyle w:val="Normal"/>
        <w:jc w:val="both"/>
        <w:rPr>
          <w:bCs/>
          <w:i/>
          <w:i/>
          <w:u w:val="single"/>
        </w:rPr>
      </w:pPr>
      <w:r>
        <w:rPr>
          <w:bCs/>
          <w:i/>
          <w:u w:val="single"/>
        </w:rPr>
        <w:t>Brazos River v.  Ponderosa Pine</w:t>
      </w:r>
    </w:p>
    <w:p>
      <w:pPr>
        <w:pStyle w:val="Normal"/>
        <w:jc w:val="both"/>
        <w:rPr>
          <w:bCs/>
        </w:rPr>
      </w:pPr>
      <w:r>
        <w:rPr>
          <w:bCs/>
        </w:rPr>
        <w:t>(Vinson &amp; Elkins/Bracewell &amp; Patterson)</w:t>
      </w:r>
    </w:p>
    <w:p>
      <w:pPr>
        <w:pStyle w:val="Normal"/>
        <w:jc w:val="both"/>
        <w:rPr>
          <w:bCs/>
        </w:rPr>
      </w:pPr>
      <w:r>
        <w:rPr>
          <w:bCs/>
        </w:rPr>
      </w:r>
    </w:p>
    <w:p>
      <w:pPr>
        <w:pStyle w:val="Normal"/>
        <w:numPr>
          <w:ilvl w:val="0"/>
          <w:numId w:val="24"/>
        </w:numPr>
        <w:jc w:val="both"/>
        <w:rPr>
          <w:bCs/>
        </w:rPr>
      </w:pPr>
      <w:r>
        <w:rPr>
          <w:bCs/>
        </w:rPr>
        <w:t>Brazos alleges that Ponderosa Pine has defaulted under their Power Purchase Agreement  (“PPA”) because Ponderosa Pine and Tenaska entered into an illegal assignment of the PPA.</w:t>
      </w:r>
    </w:p>
    <w:p>
      <w:pPr>
        <w:pStyle w:val="Normal"/>
        <w:numPr>
          <w:ilvl w:val="0"/>
          <w:numId w:val="24"/>
        </w:numPr>
        <w:jc w:val="both"/>
        <w:rPr>
          <w:bCs/>
        </w:rPr>
      </w:pPr>
      <w:r>
        <w:rPr>
          <w:bCs/>
        </w:rPr>
        <w:t>Brazos also alleges that Ponderosa Pine defaulted under the PPA because it has failed to meet certain performance guaranties contained in the PPA.  The power plant has experienced some problems with its Westinghouse turbines.</w:t>
      </w:r>
    </w:p>
    <w:p>
      <w:pPr>
        <w:pStyle w:val="Normal"/>
        <w:numPr>
          <w:ilvl w:val="0"/>
          <w:numId w:val="24"/>
        </w:numPr>
        <w:jc w:val="both"/>
        <w:rPr>
          <w:b/>
        </w:rPr>
      </w:pPr>
      <w:r>
        <w:rPr>
          <w:b/>
        </w:rPr>
        <w:t>Brazos and Ponderosa Pine held a settlement conference on November 10, 2000 to attempt to resolve these contested issues.</w:t>
      </w:r>
    </w:p>
    <w:p>
      <w:pPr>
        <w:pStyle w:val="Normal"/>
        <w:jc w:val="both"/>
        <w:rPr>
          <w:b/>
          <w:bCs/>
        </w:rPr>
      </w:pPr>
      <w:r>
        <w:rPr>
          <w:b/>
          <w:bCs/>
        </w:rPr>
      </w:r>
    </w:p>
    <w:p>
      <w:pPr>
        <w:pStyle w:val="Normal"/>
        <w:jc w:val="both"/>
        <w:rPr>
          <w:bCs/>
          <w:i/>
          <w:i/>
          <w:u w:val="single"/>
        </w:rPr>
      </w:pPr>
      <w:r>
        <w:rPr>
          <w:bCs/>
          <w:i/>
          <w:u w:val="single"/>
        </w:rPr>
        <w:t>California PUC/Attorney General Investigation</w:t>
      </w:r>
    </w:p>
    <w:p>
      <w:pPr>
        <w:pStyle w:val="Normal"/>
        <w:jc w:val="both"/>
        <w:rPr/>
      </w:pPr>
      <w:r>
        <w:rPr>
          <w:bCs/>
        </w:rPr>
        <w:t>(</w:t>
      </w:r>
      <w:r>
        <w:rPr>
          <w:rFonts w:cs="Arial"/>
          <w:bCs/>
          <w:color w:val="000000"/>
          <w:szCs w:val="18"/>
        </w:rPr>
        <w:t>Brobeck Pflager Harrison – Gary Fergus</w:t>
      </w:r>
      <w:r>
        <w:rPr>
          <w:bCs/>
        </w:rPr>
        <w:t>)</w:t>
      </w:r>
    </w:p>
    <w:p>
      <w:pPr>
        <w:pStyle w:val="Normal"/>
        <w:jc w:val="both"/>
        <w:rPr>
          <w:bCs/>
        </w:rPr>
      </w:pPr>
      <w:r>
        <w:rPr>
          <w:bCs/>
        </w:rPr>
      </w:r>
    </w:p>
    <w:p>
      <w:pPr>
        <w:pStyle w:val="Normal"/>
        <w:numPr>
          <w:ilvl w:val="0"/>
          <w:numId w:val="24"/>
        </w:numPr>
        <w:jc w:val="both"/>
        <w:rPr>
          <w:bCs/>
        </w:rPr>
      </w:pPr>
      <w:r>
        <w:rPr>
          <w:bCs/>
        </w:rPr>
        <w:t>The California Public Utilities Commission (“CPUC”) has issued a subpoena to ENA related to its West Coast power trading activities since 1998.  Included in this subpoena is a request for all profit and loss statements.</w:t>
      </w:r>
    </w:p>
    <w:p>
      <w:pPr>
        <w:pStyle w:val="Normal"/>
        <w:numPr>
          <w:ilvl w:val="0"/>
          <w:numId w:val="24"/>
        </w:numPr>
        <w:jc w:val="both"/>
        <w:rPr>
          <w:bCs/>
        </w:rPr>
      </w:pPr>
      <w:r>
        <w:rPr>
          <w:bCs/>
        </w:rPr>
        <w:t>The attorney for the CPUC and its Chairman have indicated that the focus of the investigation is whether ENA’s profits on the sale of power in California were “just and reasonable”.  The potential claims to recover any excess profit include violations of consumer protection, antitrust, and price gouging statutes.</w:t>
      </w:r>
    </w:p>
    <w:p>
      <w:pPr>
        <w:pStyle w:val="Normal"/>
        <w:numPr>
          <w:ilvl w:val="0"/>
          <w:numId w:val="24"/>
        </w:numPr>
        <w:jc w:val="both"/>
        <w:rPr>
          <w:bCs/>
        </w:rPr>
      </w:pPr>
      <w:r>
        <w:rPr>
          <w:bCs/>
        </w:rPr>
        <w:t>The California Attorney General has also initiated an investigation but has not issued a subpoena to ENA.</w:t>
      </w:r>
    </w:p>
    <w:p>
      <w:pPr>
        <w:pStyle w:val="Normal"/>
        <w:jc w:val="both"/>
        <w:rPr>
          <w:bCs/>
        </w:rPr>
      </w:pPr>
      <w:r>
        <w:rPr>
          <w:bCs/>
        </w:rPr>
      </w:r>
    </w:p>
    <w:p>
      <w:pPr>
        <w:pStyle w:val="Normal"/>
        <w:jc w:val="both"/>
        <w:rPr>
          <w:bCs/>
          <w:i/>
          <w:i/>
          <w:u w:val="single"/>
        </w:rPr>
      </w:pPr>
      <w:r>
        <w:rPr>
          <w:bCs/>
          <w:i/>
          <w:u w:val="single"/>
        </w:rPr>
        <w:t>Project Stanley</w:t>
      </w:r>
    </w:p>
    <w:p>
      <w:pPr>
        <w:pStyle w:val="Normal"/>
        <w:jc w:val="both"/>
        <w:rPr/>
      </w:pPr>
      <w:r>
        <w:rPr>
          <w:bCs/>
        </w:rPr>
        <w:t>(</w:t>
      </w:r>
      <w:r>
        <w:rPr>
          <w:rFonts w:cs="Arial"/>
          <w:bCs/>
          <w:color w:val="000000"/>
          <w:szCs w:val="18"/>
        </w:rPr>
        <w:t>Blake, Cassels &amp; Graydon – Glen Leslie</w:t>
      </w:r>
      <w:r>
        <w:rPr>
          <w:bCs/>
        </w:rPr>
        <w:t>)</w:t>
      </w:r>
    </w:p>
    <w:p>
      <w:pPr>
        <w:pStyle w:val="Normal"/>
        <w:jc w:val="both"/>
        <w:rPr>
          <w:bCs/>
        </w:rPr>
      </w:pPr>
      <w:r>
        <w:rPr>
          <w:bCs/>
        </w:rPr>
      </w:r>
    </w:p>
    <w:p>
      <w:pPr>
        <w:pStyle w:val="Normal"/>
        <w:numPr>
          <w:ilvl w:val="0"/>
          <w:numId w:val="24"/>
        </w:numPr>
        <w:jc w:val="both"/>
        <w:rPr>
          <w:bCs/>
        </w:rPr>
      </w:pPr>
      <w:r>
        <w:rPr>
          <w:bCs/>
        </w:rPr>
        <w:t>In May, the Canadian government executed a search warrant for certain information related to Enron Canada’s purchase of power from PowerX.  The alleged criminal violation is price fixing.</w:t>
      </w:r>
    </w:p>
    <w:p>
      <w:pPr>
        <w:pStyle w:val="Normal"/>
        <w:numPr>
          <w:ilvl w:val="0"/>
          <w:numId w:val="24"/>
        </w:numPr>
        <w:jc w:val="both"/>
        <w:rPr>
          <w:bCs/>
        </w:rPr>
      </w:pPr>
      <w:r>
        <w:rPr>
          <w:bCs/>
        </w:rPr>
        <w:t>The government’s investigation has not progressed significantly since May.  We are closely monitoring the situation and are in communication with government attorneys and investigators.</w:t>
      </w:r>
    </w:p>
    <w:p>
      <w:pPr>
        <w:pStyle w:val="Normal"/>
        <w:jc w:val="both"/>
        <w:rPr>
          <w:rFonts w:ascii="Times New Roman" w:hAnsi="Times New Roman" w:cs="Times New Roman"/>
          <w:bCs/>
        </w:rPr>
      </w:pPr>
      <w:r>
        <w:rPr>
          <w:rFonts w:cs="Times New Roman" w:ascii="Times New Roman" w:hAnsi="Times New Roman"/>
          <w:bCs/>
        </w:rPr>
      </w:r>
    </w:p>
    <w:p>
      <w:pPr>
        <w:pStyle w:val="Heading"/>
        <w:rPr>
          <w:rFonts w:ascii="Times New Roman" w:hAnsi="Times New Roman" w:cs="Times New Roman"/>
        </w:rPr>
      </w:pPr>
      <w:r>
        <w:rPr>
          <w:rFonts w:cs="Times New Roman" w:ascii="Times New Roman" w:hAnsi="Times New Roman"/>
        </w:rPr>
      </w:r>
    </w:p>
    <w:p>
      <w:pPr>
        <w:pStyle w:val="Heading"/>
        <w:rPr/>
      </w:pPr>
      <w:r>
        <w:rPr/>
        <w:t>Enron Industrial Markets LLC</w:t>
      </w:r>
    </w:p>
    <w:p>
      <w:pPr>
        <w:pStyle w:val="Normal"/>
        <w:rPr>
          <w:rFonts w:ascii="Times New Roman" w:hAnsi="Times New Roman" w:cs="Times New Roman"/>
        </w:rPr>
      </w:pPr>
      <w:r>
        <w:rPr>
          <w:rFonts w:cs="Times New Roman" w:ascii="Times New Roman" w:hAnsi="Times New Roman"/>
        </w:rPr>
      </w:r>
    </w:p>
    <w:p>
      <w:pPr>
        <w:pStyle w:val="Heading1"/>
        <w:rPr>
          <w:rFonts w:eastAsia="Arial Unicode MS"/>
        </w:rPr>
      </w:pPr>
      <w:r>
        <w:rPr>
          <w:b w:val="false"/>
          <w:bCs/>
        </w:rPr>
        <w:t>Organization</w:t>
      </w:r>
    </w:p>
    <w:p>
      <w:pPr>
        <w:pStyle w:val="Normal"/>
        <w:rPr>
          <w:rFonts w:ascii="Times New Roman" w:hAnsi="Times New Roman" w:eastAsia="Arial Unicode MS" w:cs="Times New Roman"/>
        </w:rPr>
      </w:pPr>
      <w:r>
        <w:rPr>
          <w:rFonts w:eastAsia="Arial Unicode MS" w:cs="Times New Roman" w:ascii="Times New Roman" w:hAnsi="Times New Roman"/>
        </w:rPr>
      </w:r>
    </w:p>
    <w:p>
      <w:pPr>
        <w:pStyle w:val="Normal"/>
        <w:numPr>
          <w:ilvl w:val="0"/>
          <w:numId w:val="28"/>
        </w:numPr>
        <w:rPr>
          <w:rFonts w:ascii="Times New Roman" w:hAnsi="Times New Roman" w:cs="Times New Roman"/>
        </w:rPr>
      </w:pPr>
      <w:r>
        <w:rPr/>
        <w:t>Formation of Enron Net Works Partnership [Julia Murray]</w:t>
      </w:r>
    </w:p>
    <w:p>
      <w:pPr>
        <w:pStyle w:val="Normal"/>
        <w:numPr>
          <w:ilvl w:val="0"/>
          <w:numId w:val="19"/>
        </w:numPr>
        <w:rPr>
          <w:rFonts w:ascii="Times New Roman" w:hAnsi="Times New Roman" w:cs="Times New Roman"/>
        </w:rPr>
      </w:pPr>
      <w:r>
        <w:rPr/>
        <w:t>Organization of Trading/Operations structures (ENA, EIM, NetWorks Partners) [Julia Murray]</w:t>
      </w:r>
    </w:p>
    <w:p>
      <w:pPr>
        <w:pStyle w:val="Normal"/>
        <w:numPr>
          <w:ilvl w:val="0"/>
          <w:numId w:val="19"/>
        </w:numPr>
        <w:rPr>
          <w:rFonts w:ascii="Times New Roman" w:hAnsi="Times New Roman" w:cs="Times New Roman"/>
        </w:rPr>
      </w:pPr>
      <w:r>
        <w:rPr/>
        <w:t>Coordination with Enron NetWorks Partners [Julia Murray]</w:t>
      </w:r>
    </w:p>
    <w:p>
      <w:pPr>
        <w:pStyle w:val="Heading1"/>
        <w:rPr>
          <w:rFonts w:ascii="Times New Roman" w:hAnsi="Times New Roman" w:eastAsia="Arial Unicode MS" w:cs="Times New Roman"/>
          <w:bCs/>
        </w:rPr>
      </w:pPr>
      <w:r>
        <w:rPr>
          <w:rFonts w:eastAsia="Arial Unicode MS" w:cs="Times New Roman"/>
          <w:bCs/>
        </w:rPr>
      </w:r>
    </w:p>
    <w:p>
      <w:pPr>
        <w:pStyle w:val="Heading1"/>
        <w:rPr>
          <w:rFonts w:eastAsia="Arial Unicode MS"/>
          <w:bCs/>
        </w:rPr>
      </w:pPr>
      <w:r>
        <w:rPr>
          <w:b w:val="false"/>
          <w:bCs/>
        </w:rPr>
        <w:t>Pulp &amp; Paper</w:t>
      </w:r>
    </w:p>
    <w:p>
      <w:pPr>
        <w:pStyle w:val="Normal"/>
        <w:rPr>
          <w:rFonts w:ascii="Times New Roman" w:hAnsi="Times New Roman" w:eastAsia="Arial Unicode MS" w:cs="Times New Roman"/>
          <w:bCs/>
        </w:rPr>
      </w:pPr>
      <w:r>
        <w:rPr>
          <w:rFonts w:eastAsia="Arial Unicode MS" w:cs="Times New Roman" w:ascii="Times New Roman" w:hAnsi="Times New Roman"/>
          <w:bCs/>
        </w:rPr>
      </w:r>
    </w:p>
    <w:p>
      <w:pPr>
        <w:pStyle w:val="Normal"/>
        <w:numPr>
          <w:ilvl w:val="0"/>
          <w:numId w:val="29"/>
        </w:numPr>
        <w:rPr>
          <w:rFonts w:ascii="Times New Roman" w:hAnsi="Times New Roman" w:cs="Times New Roman"/>
        </w:rPr>
      </w:pPr>
      <w:r>
        <w:rPr/>
        <w:t>Mergers &amp; Acquisitions/Originations [Peter del Vecchio]</w:t>
      </w:r>
    </w:p>
    <w:p>
      <w:pPr>
        <w:pStyle w:val="Normal"/>
        <w:numPr>
          <w:ilvl w:val="1"/>
          <w:numId w:val="26"/>
        </w:numPr>
        <w:rPr>
          <w:rFonts w:ascii="Times New Roman" w:hAnsi="Times New Roman" w:cs="Times New Roman"/>
        </w:rPr>
      </w:pPr>
      <w:r>
        <w:rPr/>
        <w:t>Project Crane</w:t>
      </w:r>
    </w:p>
    <w:p>
      <w:pPr>
        <w:pStyle w:val="Normal"/>
        <w:numPr>
          <w:ilvl w:val="1"/>
          <w:numId w:val="26"/>
        </w:numPr>
        <w:rPr>
          <w:rFonts w:ascii="Times New Roman" w:hAnsi="Times New Roman" w:cs="Times New Roman"/>
        </w:rPr>
      </w:pPr>
      <w:r>
        <w:rPr/>
        <w:t>Papier Masson – Buy/Sell</w:t>
      </w:r>
    </w:p>
    <w:p>
      <w:pPr>
        <w:pStyle w:val="Normal"/>
        <w:numPr>
          <w:ilvl w:val="1"/>
          <w:numId w:val="26"/>
        </w:numPr>
        <w:rPr>
          <w:rFonts w:ascii="Times New Roman" w:hAnsi="Times New Roman" w:cs="Times New Roman"/>
        </w:rPr>
      </w:pPr>
      <w:r>
        <w:rPr/>
        <w:t>Others (Oconto Falls/Rebox, Casella)</w:t>
      </w:r>
    </w:p>
    <w:p>
      <w:pPr>
        <w:pStyle w:val="Normal"/>
        <w:numPr>
          <w:ilvl w:val="0"/>
          <w:numId w:val="26"/>
        </w:numPr>
        <w:rPr>
          <w:rFonts w:ascii="Times New Roman" w:hAnsi="Times New Roman" w:cs="Times New Roman"/>
        </w:rPr>
      </w:pPr>
      <w:r>
        <w:rPr/>
        <w:t>Garden State Paper [Peter del Vecchio]</w:t>
      </w:r>
    </w:p>
    <w:p>
      <w:pPr>
        <w:pStyle w:val="Normal"/>
        <w:numPr>
          <w:ilvl w:val="1"/>
          <w:numId w:val="26"/>
        </w:numPr>
        <w:rPr>
          <w:rFonts w:ascii="Times New Roman" w:hAnsi="Times New Roman" w:cs="Times New Roman"/>
        </w:rPr>
      </w:pPr>
      <w:r>
        <w:rPr/>
        <w:t>Post-closing matters</w:t>
      </w:r>
    </w:p>
    <w:p>
      <w:pPr>
        <w:pStyle w:val="Normal"/>
        <w:numPr>
          <w:ilvl w:val="1"/>
          <w:numId w:val="26"/>
        </w:numPr>
        <w:rPr>
          <w:rFonts w:ascii="Times New Roman" w:hAnsi="Times New Roman" w:cs="Times New Roman"/>
        </w:rPr>
      </w:pPr>
      <w:r>
        <w:rPr/>
        <w:t>Operations</w:t>
      </w:r>
    </w:p>
    <w:p>
      <w:pPr>
        <w:pStyle w:val="Normal"/>
        <w:numPr>
          <w:ilvl w:val="1"/>
          <w:numId w:val="26"/>
        </w:numPr>
        <w:rPr>
          <w:rFonts w:ascii="Times New Roman" w:hAnsi="Times New Roman" w:cs="Times New Roman"/>
        </w:rPr>
      </w:pPr>
      <w:r>
        <w:rPr/>
        <w:t>Financing</w:t>
      </w:r>
    </w:p>
    <w:p>
      <w:pPr>
        <w:pStyle w:val="Normal"/>
        <w:numPr>
          <w:ilvl w:val="0"/>
          <w:numId w:val="26"/>
        </w:numPr>
        <w:rPr>
          <w:rFonts w:ascii="Times New Roman" w:hAnsi="Times New Roman" w:cs="Times New Roman"/>
        </w:rPr>
      </w:pPr>
      <w:r>
        <w:rPr/>
        <w:t>Physical Trading [Harry Collins]</w:t>
      </w:r>
    </w:p>
    <w:p>
      <w:pPr>
        <w:pStyle w:val="BodyTextIndent"/>
        <w:numPr>
          <w:ilvl w:val="1"/>
          <w:numId w:val="26"/>
        </w:numPr>
        <w:rPr/>
      </w:pPr>
      <w:r>
        <w:rPr/>
        <w:t>Pulp &amp; Paper/Lumber</w:t>
      </w:r>
    </w:p>
    <w:p>
      <w:pPr>
        <w:pStyle w:val="Normal"/>
        <w:numPr>
          <w:ilvl w:val="1"/>
          <w:numId w:val="26"/>
        </w:numPr>
        <w:rPr>
          <w:rFonts w:ascii="Times New Roman" w:hAnsi="Times New Roman" w:cs="Times New Roman"/>
        </w:rPr>
      </w:pPr>
      <w:r>
        <w:rPr/>
        <w:t>Electronic Trading (Clickpaper.com, Asia roll out)</w:t>
      </w:r>
    </w:p>
    <w:p>
      <w:pPr>
        <w:pStyle w:val="Normal"/>
        <w:numPr>
          <w:ilvl w:val="1"/>
          <w:numId w:val="26"/>
        </w:numPr>
        <w:rPr>
          <w:rFonts w:ascii="Times New Roman" w:hAnsi="Times New Roman" w:cs="Times New Roman"/>
        </w:rPr>
      </w:pPr>
      <w:r>
        <w:rPr/>
        <w:t>Garden State Paper (ONP feedstock agreements)</w:t>
      </w:r>
    </w:p>
    <w:p>
      <w:pPr>
        <w:pStyle w:val="Normal"/>
        <w:rPr>
          <w:rFonts w:ascii="Times New Roman" w:hAnsi="Times New Roman" w:cs="Times New Roman"/>
        </w:rPr>
      </w:pPr>
      <w:r>
        <w:rPr>
          <w:rFonts w:cs="Times New Roman" w:ascii="Times New Roman" w:hAnsi="Times New Roman"/>
        </w:rPr>
      </w:r>
    </w:p>
    <w:p>
      <w:pPr>
        <w:pStyle w:val="Heading2"/>
        <w:rPr>
          <w:rFonts w:eastAsia="Arial Unicode MS"/>
        </w:rPr>
      </w:pPr>
      <w:r>
        <w:rPr/>
        <w:t>Steel</w:t>
      </w:r>
    </w:p>
    <w:p>
      <w:pPr>
        <w:pStyle w:val="Normal"/>
        <w:rPr>
          <w:rFonts w:ascii="Times New Roman" w:hAnsi="Times New Roman" w:eastAsia="Arial Unicode MS" w:cs="Times New Roman"/>
        </w:rPr>
      </w:pPr>
      <w:r>
        <w:rPr>
          <w:rFonts w:eastAsia="Arial Unicode MS" w:cs="Times New Roman" w:ascii="Times New Roman" w:hAnsi="Times New Roman"/>
        </w:rPr>
      </w:r>
    </w:p>
    <w:p>
      <w:pPr>
        <w:pStyle w:val="Normal"/>
        <w:numPr>
          <w:ilvl w:val="0"/>
          <w:numId w:val="30"/>
        </w:numPr>
        <w:rPr>
          <w:rFonts w:ascii="Times New Roman" w:hAnsi="Times New Roman" w:cs="Times New Roman"/>
        </w:rPr>
      </w:pPr>
      <w:r>
        <w:rPr/>
        <w:t>Electronic Trading [Harry Collins]</w:t>
      </w:r>
    </w:p>
    <w:p>
      <w:pPr>
        <w:pStyle w:val="Normal"/>
        <w:numPr>
          <w:ilvl w:val="0"/>
          <w:numId w:val="17"/>
        </w:numPr>
        <w:rPr>
          <w:rFonts w:ascii="Times New Roman" w:hAnsi="Times New Roman" w:cs="Times New Roman"/>
        </w:rPr>
      </w:pPr>
      <w:r>
        <w:rPr/>
        <w:t>Forms Development (Consignment transactions, Physical trading) [Harry Collins]</w:t>
      </w:r>
    </w:p>
    <w:p>
      <w:pPr>
        <w:pStyle w:val="Normal"/>
        <w:numPr>
          <w:ilvl w:val="0"/>
          <w:numId w:val="17"/>
        </w:numPr>
        <w:rPr>
          <w:rFonts w:ascii="Times New Roman" w:hAnsi="Times New Roman" w:cs="Times New Roman"/>
        </w:rPr>
      </w:pPr>
      <w:r>
        <w:rPr/>
        <w:t>Metals USA [Lou Stoler]</w:t>
      </w:r>
    </w:p>
    <w:p>
      <w:pPr>
        <w:pStyle w:val="Normal"/>
        <w:rPr>
          <w:rFonts w:ascii="Times New Roman" w:hAnsi="Times New Roman" w:cs="Times New Roman"/>
        </w:rPr>
      </w:pPr>
      <w:r>
        <w:rPr>
          <w:rFonts w:cs="Times New Roman" w:ascii="Times New Roman" w:hAnsi="Times New Roman"/>
        </w:rPr>
      </w:r>
    </w:p>
    <w:p>
      <w:pPr>
        <w:pStyle w:val="Heading2"/>
        <w:rPr>
          <w:rFonts w:eastAsia="Arial Unicode MS"/>
        </w:rPr>
      </w:pPr>
      <w:r>
        <w:rPr/>
        <w:t>Miscellaneous</w:t>
      </w:r>
    </w:p>
    <w:p>
      <w:pPr>
        <w:pStyle w:val="Normal"/>
        <w:rPr>
          <w:rFonts w:ascii="Times New Roman" w:hAnsi="Times New Roman" w:eastAsia="Arial Unicode MS" w:cs="Times New Roman"/>
        </w:rPr>
      </w:pPr>
      <w:r>
        <w:rPr>
          <w:rFonts w:eastAsia="Arial Unicode MS" w:cs="Times New Roman" w:ascii="Times New Roman" w:hAnsi="Times New Roman"/>
        </w:rPr>
      </w:r>
    </w:p>
    <w:p>
      <w:pPr>
        <w:pStyle w:val="Normal"/>
        <w:numPr>
          <w:ilvl w:val="0"/>
          <w:numId w:val="31"/>
        </w:numPr>
        <w:rPr>
          <w:rFonts w:ascii="Times New Roman" w:hAnsi="Times New Roman" w:cs="Times New Roman"/>
        </w:rPr>
      </w:pPr>
      <w:r>
        <w:rPr/>
        <w:t>Garden State Paper-Antitrust training</w:t>
      </w:r>
    </w:p>
    <w:p>
      <w:pPr>
        <w:pStyle w:val="Normal"/>
        <w:numPr>
          <w:ilvl w:val="0"/>
          <w:numId w:val="14"/>
        </w:numPr>
        <w:rPr>
          <w:rFonts w:ascii="Times New Roman" w:hAnsi="Times New Roman" w:cs="Times New Roman"/>
        </w:rPr>
      </w:pPr>
      <w:r>
        <w:rPr/>
        <w:t>Alamac</w:t>
      </w:r>
    </w:p>
    <w:p>
      <w:pPr>
        <w:pStyle w:val="Normal"/>
        <w:numPr>
          <w:ilvl w:val="0"/>
          <w:numId w:val="14"/>
        </w:numPr>
        <w:rPr>
          <w:rFonts w:ascii="Times New Roman" w:hAnsi="Times New Roman" w:cs="Times New Roman"/>
        </w:rPr>
      </w:pPr>
      <w:r>
        <w:rPr/>
        <w:t>Environmental, Labor and Benefits Risk Education Seminars</w:t>
      </w:r>
    </w:p>
    <w:p>
      <w:pPr>
        <w:pStyle w:val="Normal"/>
        <w:numPr>
          <w:ilvl w:val="0"/>
          <w:numId w:val="14"/>
        </w:numPr>
        <w:rPr>
          <w:rFonts w:ascii="Times New Roman" w:hAnsi="Times New Roman" w:cs="Times New Roman"/>
        </w:rPr>
      </w:pPr>
      <w:r>
        <w:rPr/>
        <w:t>Analysis of Prepay Structures</w:t>
      </w:r>
    </w:p>
    <w:p>
      <w:pPr>
        <w:pStyle w:val="Normal"/>
        <w:numPr>
          <w:ilvl w:val="0"/>
          <w:numId w:val="14"/>
        </w:numPr>
        <w:rPr>
          <w:rFonts w:ascii="Times New Roman" w:hAnsi="Times New Roman" w:cs="Times New Roman"/>
        </w:rPr>
      </w:pPr>
      <w:r>
        <w:rPr/>
        <w:t>Review of Outside Counsel</w:t>
      </w:r>
    </w:p>
    <w:p>
      <w:pPr>
        <w:pStyle w:val="Normal"/>
        <w:numPr>
          <w:ilvl w:val="0"/>
          <w:numId w:val="14"/>
        </w:numPr>
        <w:rPr>
          <w:rFonts w:ascii="Times New Roman" w:hAnsi="Times New Roman" w:cs="Times New Roman"/>
        </w:rPr>
      </w:pPr>
      <w:r>
        <w:rPr/>
        <w:t>Review of Outside Consultants</w:t>
      </w:r>
    </w:p>
    <w:p>
      <w:pPr>
        <w:pStyle w:val="Normal"/>
        <w:numPr>
          <w:ilvl w:val="0"/>
          <w:numId w:val="14"/>
        </w:numPr>
        <w:rPr>
          <w:rFonts w:ascii="Times New Roman" w:hAnsi="Times New Roman" w:cs="Times New Roman"/>
        </w:rPr>
      </w:pPr>
      <w:r>
        <w:rPr/>
        <w:t>Legal Resources on EIM intranet</w:t>
      </w:r>
    </w:p>
    <w:p>
      <w:pPr>
        <w:pStyle w:val="Normal"/>
        <w:numPr>
          <w:ilvl w:val="0"/>
          <w:numId w:val="14"/>
        </w:numPr>
        <w:rPr>
          <w:rFonts w:ascii="Times New Roman" w:hAnsi="Times New Roman" w:cs="Times New Roman"/>
        </w:rPr>
      </w:pPr>
      <w:r>
        <w:rPr/>
        <w:t xml:space="preserve">Live Link – Document storage/retention </w:t>
      </w:r>
    </w:p>
    <w:p>
      <w:pPr>
        <w:pStyle w:val="Normal"/>
        <w:numPr>
          <w:ilvl w:val="0"/>
          <w:numId w:val="14"/>
        </w:numPr>
        <w:rPr>
          <w:rFonts w:ascii="Times New Roman" w:hAnsi="Times New Roman" w:cs="Times New Roman"/>
        </w:rPr>
      </w:pPr>
      <w:r>
        <w:rPr/>
        <w:t>FASB 125 Transaction on Pulp &amp; Paper Book</w:t>
      </w:r>
    </w:p>
    <w:p>
      <w:pPr>
        <w:pStyle w:val="Normal"/>
        <w:rPr>
          <w:rFonts w:ascii="Times New Roman" w:hAnsi="Times New Roman" w:cs="Times New Roman"/>
        </w:rPr>
      </w:pPr>
      <w:r>
        <w:rPr>
          <w:rFonts w:cs="Times New Roman" w:ascii="Times New Roman" w:hAnsi="Times New Roman"/>
        </w:rPr>
      </w:r>
    </w:p>
    <w:p>
      <w:pPr>
        <w:pStyle w:val="Normal"/>
        <w:rPr/>
      </w:pPr>
      <w:r>
        <w:rPr/>
      </w:r>
    </w:p>
    <w:p>
      <w:pPr>
        <w:pStyle w:val="Heading8"/>
        <w:ind w:hanging="0" w:start="0"/>
        <w:rPr>
          <w:rFonts w:ascii="Times New Roman" w:hAnsi="Times New Roman" w:cs="Times New Roman"/>
          <w:sz w:val="24"/>
          <w:szCs w:val="24"/>
        </w:rPr>
      </w:pPr>
      <w:r>
        <w:rPr/>
        <w:t>ENRON GLOBAL MARKETS LLC</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Header"/>
        <w:tabs>
          <w:tab w:val="left" w:pos="720" w:leader="none"/>
          <w:tab w:val="center" w:pos="4320" w:leader="none"/>
          <w:tab w:val="right" w:pos="8640" w:leader="none"/>
        </w:tabs>
        <w:rPr>
          <w:b/>
          <w:bCs/>
          <w:sz w:val="22"/>
        </w:rPr>
      </w:pPr>
      <w:r>
        <w:rPr>
          <w:b/>
          <w:bCs/>
          <w:sz w:val="22"/>
        </w:rPr>
        <w:t>Coal</w:t>
      </w:r>
    </w:p>
    <w:p>
      <w:pPr>
        <w:pStyle w:val="Normal"/>
        <w:numPr>
          <w:ilvl w:val="0"/>
          <w:numId w:val="32"/>
        </w:numPr>
        <w:rPr>
          <w:rFonts w:ascii="Times New Roman" w:hAnsi="Times New Roman" w:cs="Times New Roman"/>
          <w:sz w:val="22"/>
        </w:rPr>
      </w:pPr>
      <w:r>
        <w:rPr>
          <w:sz w:val="22"/>
        </w:rPr>
        <w:t xml:space="preserve">Sempra Synfuel Transaction Restructure &amp; related litigation(Wayne Gresham/Richard Sanders)  </w:t>
      </w:r>
    </w:p>
    <w:p>
      <w:pPr>
        <w:pStyle w:val="Normal"/>
        <w:numPr>
          <w:ilvl w:val="0"/>
          <w:numId w:val="7"/>
        </w:numPr>
        <w:rPr>
          <w:rFonts w:ascii="Times New Roman" w:hAnsi="Times New Roman" w:cs="Times New Roman"/>
          <w:sz w:val="22"/>
        </w:rPr>
      </w:pPr>
      <w:r>
        <w:rPr>
          <w:sz w:val="22"/>
        </w:rPr>
        <w:t>AIG Synfuel Transaction (Wayne Gresham)</w:t>
      </w:r>
    </w:p>
    <w:p>
      <w:pPr>
        <w:pStyle w:val="Normal"/>
        <w:numPr>
          <w:ilvl w:val="0"/>
          <w:numId w:val="7"/>
        </w:numPr>
        <w:rPr>
          <w:rFonts w:ascii="Times New Roman" w:hAnsi="Times New Roman" w:cs="Times New Roman"/>
          <w:sz w:val="22"/>
        </w:rPr>
      </w:pPr>
      <w:r>
        <w:rPr>
          <w:sz w:val="22"/>
        </w:rPr>
        <w:t>Votorantim v. ENA Litigation (Richard Sanders)</w:t>
      </w:r>
    </w:p>
    <w:p>
      <w:pPr>
        <w:pStyle w:val="Normal"/>
        <w:numPr>
          <w:ilvl w:val="0"/>
          <w:numId w:val="7"/>
        </w:numPr>
        <w:rPr>
          <w:rFonts w:ascii="Times New Roman" w:hAnsi="Times New Roman" w:cs="Times New Roman"/>
          <w:color w:val="000000"/>
          <w:sz w:val="22"/>
        </w:rPr>
      </w:pPr>
      <w:r>
        <w:rPr>
          <w:color w:val="000000"/>
          <w:sz w:val="22"/>
        </w:rPr>
        <w:t>Massey/Cline/ENA Joint Venture (Wayne Gresham)</w:t>
      </w:r>
    </w:p>
    <w:p>
      <w:pPr>
        <w:pStyle w:val="Normal"/>
        <w:numPr>
          <w:ilvl w:val="0"/>
          <w:numId w:val="7"/>
        </w:numPr>
        <w:rPr>
          <w:rFonts w:ascii="Times New Roman" w:hAnsi="Times New Roman" w:cs="Times New Roman"/>
          <w:color w:val="000000"/>
          <w:sz w:val="22"/>
        </w:rPr>
      </w:pPr>
      <w:r>
        <w:rPr>
          <w:sz w:val="22"/>
        </w:rPr>
        <w:t>Panther Restructure (Wayne Gresham)</w:t>
      </w:r>
    </w:p>
    <w:p>
      <w:pPr>
        <w:pStyle w:val="Normal"/>
        <w:numPr>
          <w:ilvl w:val="0"/>
          <w:numId w:val="7"/>
        </w:numPr>
        <w:rPr>
          <w:rFonts w:ascii="Times New Roman" w:hAnsi="Times New Roman" w:cs="Times New Roman"/>
          <w:color w:val="000000"/>
          <w:sz w:val="22"/>
        </w:rPr>
      </w:pPr>
      <w:r>
        <w:rPr>
          <w:color w:val="000000"/>
          <w:sz w:val="22"/>
        </w:rPr>
        <w:t>Stadtwerke Bremen Transaction (Robert Quick\Michael Schuh)</w:t>
      </w:r>
    </w:p>
    <w:p>
      <w:pPr>
        <w:pStyle w:val="Normal"/>
        <w:numPr>
          <w:ilvl w:val="0"/>
          <w:numId w:val="7"/>
        </w:numPr>
        <w:rPr>
          <w:rFonts w:ascii="Times New Roman" w:hAnsi="Times New Roman" w:cs="Times New Roman"/>
          <w:color w:val="000000"/>
          <w:sz w:val="22"/>
        </w:rPr>
      </w:pPr>
      <w:r>
        <w:rPr>
          <w:color w:val="000000"/>
          <w:sz w:val="22"/>
        </w:rPr>
        <w:t>BSES Indian Coal Supply Tender (Robert Quick)</w:t>
      </w:r>
    </w:p>
    <w:p>
      <w:pPr>
        <w:pStyle w:val="Normal"/>
        <w:numPr>
          <w:ilvl w:val="0"/>
          <w:numId w:val="7"/>
        </w:numPr>
        <w:rPr>
          <w:rFonts w:ascii="Times New Roman" w:hAnsi="Times New Roman" w:cs="Times New Roman"/>
          <w:sz w:val="22"/>
        </w:rPr>
      </w:pPr>
      <w:r>
        <w:rPr>
          <w:color w:val="000000"/>
          <w:sz w:val="22"/>
        </w:rPr>
        <w:t>Billiton South African Coal Sales and Purchases (Robert Quick)</w:t>
      </w:r>
    </w:p>
    <w:p>
      <w:pPr>
        <w:pStyle w:val="Normal"/>
        <w:numPr>
          <w:ilvl w:val="0"/>
          <w:numId w:val="7"/>
        </w:numPr>
        <w:rPr>
          <w:rFonts w:ascii="Times New Roman" w:hAnsi="Times New Roman" w:cs="Times New Roman"/>
          <w:sz w:val="22"/>
        </w:rPr>
      </w:pPr>
      <w:r>
        <w:rPr>
          <w:color w:val="000000"/>
          <w:sz w:val="22"/>
        </w:rPr>
        <w:t>First Energy Coal for Energy Tolling Agreement (Marcus Nettelton)</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b/>
          <w:bCs/>
          <w:sz w:val="22"/>
        </w:rPr>
      </w:pPr>
      <w:r>
        <w:rPr>
          <w:b/>
          <w:bCs/>
          <w:sz w:val="22"/>
        </w:rPr>
        <w:t>Emissions/Clean Energy Solutions</w:t>
      </w:r>
    </w:p>
    <w:p>
      <w:pPr>
        <w:pStyle w:val="Normal"/>
        <w:numPr>
          <w:ilvl w:val="0"/>
          <w:numId w:val="26"/>
        </w:numPr>
        <w:rPr>
          <w:rFonts w:ascii="Times New Roman" w:hAnsi="Times New Roman" w:cs="Times New Roman"/>
          <w:sz w:val="22"/>
        </w:rPr>
      </w:pPr>
      <w:r>
        <w:rPr>
          <w:sz w:val="22"/>
        </w:rPr>
        <w:t>NOx Tech Warrants Purchase (Wayne Gresham/Alan Aronowitz)</w:t>
      </w:r>
    </w:p>
    <w:p>
      <w:pPr>
        <w:pStyle w:val="Normal"/>
        <w:numPr>
          <w:ilvl w:val="0"/>
          <w:numId w:val="26"/>
        </w:numPr>
        <w:rPr>
          <w:rFonts w:ascii="Times New Roman" w:hAnsi="Times New Roman" w:cs="Times New Roman"/>
          <w:sz w:val="22"/>
        </w:rPr>
      </w:pPr>
      <w:r>
        <w:rPr>
          <w:color w:val="000000"/>
          <w:sz w:val="22"/>
        </w:rPr>
        <w:t>Tennessee Valley Authority conceptual proposal for pilot and licensed use of NOxTech technology (Marcus Nettelton)</w:t>
      </w:r>
    </w:p>
    <w:p>
      <w:pPr>
        <w:pStyle w:val="Normal"/>
        <w:numPr>
          <w:ilvl w:val="0"/>
          <w:numId w:val="26"/>
        </w:numPr>
        <w:rPr>
          <w:rFonts w:ascii="Times New Roman" w:hAnsi="Times New Roman" w:cs="Times New Roman"/>
          <w:sz w:val="22"/>
        </w:rPr>
      </w:pPr>
      <w:r>
        <w:rPr>
          <w:color w:val="000000"/>
          <w:sz w:val="22"/>
        </w:rPr>
        <w:t>Emissions Management Services Agreement concept (Marcus Nettelton)</w:t>
      </w:r>
    </w:p>
    <w:p>
      <w:pPr>
        <w:pStyle w:val="Normal"/>
        <w:numPr>
          <w:ilvl w:val="0"/>
          <w:numId w:val="26"/>
        </w:numPr>
        <w:rPr>
          <w:rFonts w:ascii="Times New Roman" w:hAnsi="Times New Roman" w:cs="Times New Roman"/>
          <w:sz w:val="22"/>
        </w:rPr>
      </w:pPr>
      <w:r>
        <w:rPr>
          <w:color w:val="000000"/>
          <w:sz w:val="22"/>
        </w:rPr>
        <w:t>Consumers Energy extension granted on Demonstration to permit further testing on probes additional amendments to address aqueous ammonia system to be put in place (Marcus Nettelton)</w:t>
      </w:r>
    </w:p>
    <w:p>
      <w:pPr>
        <w:pStyle w:val="Header"/>
        <w:tabs>
          <w:tab w:val="left" w:pos="720" w:leader="none"/>
          <w:tab w:val="center" w:pos="4320" w:leader="none"/>
          <w:tab w:val="right" w:pos="8640" w:leader="none"/>
        </w:tabs>
        <w:rPr>
          <w:rFonts w:eastAsia="Tms Rmn;Times New Roman"/>
          <w:sz w:val="22"/>
        </w:rPr>
      </w:pPr>
      <w:r>
        <w:rPr>
          <w:rFonts w:eastAsia="Tms Rmn;Times New Roman"/>
          <w:sz w:val="22"/>
        </w:rPr>
        <w:t xml:space="preserve">  </w:t>
      </w:r>
    </w:p>
    <w:p>
      <w:pPr>
        <w:pStyle w:val="Normal"/>
        <w:tabs>
          <w:tab w:val="left" w:pos="720" w:leader="none"/>
        </w:tabs>
        <w:rPr>
          <w:rFonts w:ascii="Times New Roman" w:hAnsi="Times New Roman" w:cs="Times New Roman"/>
          <w:b/>
          <w:bCs/>
          <w:sz w:val="22"/>
        </w:rPr>
      </w:pPr>
      <w:r>
        <w:rPr>
          <w:b/>
          <w:bCs/>
          <w:sz w:val="22"/>
        </w:rPr>
        <w:t xml:space="preserve">Liquids/Global Products </w:t>
      </w:r>
    </w:p>
    <w:p>
      <w:pPr>
        <w:pStyle w:val="Normal"/>
        <w:numPr>
          <w:ilvl w:val="0"/>
          <w:numId w:val="33"/>
        </w:numPr>
        <w:rPr>
          <w:rFonts w:ascii="Times New Roman" w:hAnsi="Times New Roman" w:cs="Times New Roman"/>
          <w:sz w:val="22"/>
        </w:rPr>
      </w:pPr>
      <w:r>
        <w:rPr>
          <w:sz w:val="22"/>
        </w:rPr>
        <w:t>First Gas Power Corporation (Philippines) – M/V Pacific Virgo/Rejection of Off Spec Cargo (Matt Lee)</w:t>
      </w:r>
    </w:p>
    <w:p>
      <w:pPr>
        <w:pStyle w:val="Normal"/>
        <w:numPr>
          <w:ilvl w:val="0"/>
          <w:numId w:val="23"/>
        </w:numPr>
        <w:rPr>
          <w:rFonts w:ascii="Times New Roman" w:hAnsi="Times New Roman" w:cs="Times New Roman"/>
          <w:sz w:val="22"/>
        </w:rPr>
      </w:pPr>
      <w:r>
        <w:rPr>
          <w:sz w:val="22"/>
        </w:rPr>
        <w:t>First Gas Contract – Legal Position Evaluation (Bob Williams/Alan Aronowitz/Matt Lee)</w:t>
      </w:r>
    </w:p>
    <w:p>
      <w:pPr>
        <w:pStyle w:val="Normal"/>
        <w:numPr>
          <w:ilvl w:val="0"/>
          <w:numId w:val="23"/>
        </w:numPr>
        <w:rPr>
          <w:rFonts w:ascii="Times New Roman" w:hAnsi="Times New Roman" w:cs="Times New Roman"/>
          <w:sz w:val="22"/>
        </w:rPr>
      </w:pPr>
      <w:r>
        <w:rPr>
          <w:sz w:val="22"/>
        </w:rPr>
        <w:t>Fu Bao Power Generating Co. Ltd. (Taiwan) (Matt Lee/Mike Robison)</w:t>
      </w:r>
    </w:p>
    <w:p>
      <w:pPr>
        <w:pStyle w:val="Normal"/>
        <w:numPr>
          <w:ilvl w:val="0"/>
          <w:numId w:val="23"/>
        </w:numPr>
        <w:rPr>
          <w:rFonts w:ascii="Times New Roman" w:hAnsi="Times New Roman" w:cs="Times New Roman"/>
          <w:sz w:val="22"/>
        </w:rPr>
      </w:pPr>
      <w:r>
        <w:rPr>
          <w:sz w:val="22"/>
        </w:rPr>
        <w:t>Ethanol Offtake and Marketing Agreement – ECFC/Canadian Grain Fractions International Ltd. (Mike Robison)</w:t>
      </w:r>
    </w:p>
    <w:p>
      <w:pPr>
        <w:pStyle w:val="Normal"/>
        <w:numPr>
          <w:ilvl w:val="0"/>
          <w:numId w:val="23"/>
        </w:numPr>
        <w:rPr>
          <w:rFonts w:ascii="Times New Roman" w:hAnsi="Times New Roman" w:cs="Times New Roman"/>
          <w:sz w:val="22"/>
        </w:rPr>
      </w:pPr>
      <w:r>
        <w:rPr>
          <w:sz w:val="22"/>
        </w:rPr>
        <w:t>Brazos VPP Offtake Master Agreement (Alan Aronowitz)</w:t>
      </w:r>
    </w:p>
    <w:p>
      <w:pPr>
        <w:pStyle w:val="Normal"/>
        <w:numPr>
          <w:ilvl w:val="0"/>
          <w:numId w:val="23"/>
        </w:numPr>
        <w:rPr>
          <w:rFonts w:ascii="Times New Roman" w:hAnsi="Times New Roman" w:cs="Times New Roman"/>
          <w:sz w:val="22"/>
        </w:rPr>
      </w:pPr>
      <w:r>
        <w:rPr>
          <w:sz w:val="22"/>
        </w:rPr>
        <w:t>Maersk Marlin – Demurrage Claim (Harry Collins)</w:t>
      </w:r>
    </w:p>
    <w:p>
      <w:pPr>
        <w:pStyle w:val="Normal"/>
        <w:numPr>
          <w:ilvl w:val="0"/>
          <w:numId w:val="23"/>
        </w:numPr>
        <w:rPr>
          <w:rFonts w:ascii="Times New Roman" w:hAnsi="Times New Roman" w:cs="Times New Roman"/>
          <w:sz w:val="22"/>
        </w:rPr>
      </w:pPr>
      <w:r>
        <w:rPr>
          <w:sz w:val="22"/>
        </w:rPr>
        <w:t>West Coast Crude Marketing Agreement with EOTT (Harry Collins)</w:t>
      </w:r>
    </w:p>
    <w:p>
      <w:pPr>
        <w:pStyle w:val="Normal"/>
        <w:numPr>
          <w:ilvl w:val="0"/>
          <w:numId w:val="23"/>
        </w:numPr>
        <w:rPr>
          <w:rFonts w:ascii="Times New Roman" w:hAnsi="Times New Roman" w:cs="Times New Roman"/>
          <w:sz w:val="22"/>
        </w:rPr>
      </w:pPr>
      <w:r>
        <w:rPr>
          <w:sz w:val="22"/>
        </w:rPr>
        <w:t>Envera Equity Investment (John Viverito/Mike Robison)</w:t>
      </w:r>
    </w:p>
    <w:p>
      <w:pPr>
        <w:pStyle w:val="Normal"/>
        <w:numPr>
          <w:ilvl w:val="0"/>
          <w:numId w:val="23"/>
        </w:numPr>
        <w:rPr>
          <w:rFonts w:ascii="Times New Roman" w:hAnsi="Times New Roman" w:cs="Times New Roman"/>
          <w:sz w:val="22"/>
        </w:rPr>
      </w:pPr>
      <w:r>
        <w:rPr>
          <w:sz w:val="22"/>
        </w:rPr>
        <w:t>Physical Plastics Trading Start-Up (Alan Aronowitz/Mike Robison/John Viverito)</w:t>
      </w:r>
    </w:p>
    <w:p>
      <w:pPr>
        <w:pStyle w:val="Normal"/>
        <w:numPr>
          <w:ilvl w:val="0"/>
          <w:numId w:val="23"/>
        </w:numPr>
        <w:ind w:hanging="420" w:start="780" w:end="0"/>
        <w:rPr>
          <w:rFonts w:ascii="Times New Roman" w:hAnsi="Times New Roman" w:cs="Times New Roman"/>
          <w:sz w:val="22"/>
        </w:rPr>
      </w:pPr>
      <w:r>
        <w:rPr>
          <w:sz w:val="22"/>
        </w:rPr>
        <w:t>U.S. Customs Self-Audit and Policy Development, and effort to continue U.S. duty drawback legislation (Mike Robison)</w:t>
      </w:r>
    </w:p>
    <w:p>
      <w:pPr>
        <w:pStyle w:val="Normal"/>
        <w:numPr>
          <w:ilvl w:val="0"/>
          <w:numId w:val="27"/>
        </w:numPr>
        <w:tabs>
          <w:tab w:val="left" w:pos="720" w:leader="none"/>
        </w:tabs>
        <w:ind w:hanging="420" w:start="780" w:end="0"/>
        <w:rPr>
          <w:rFonts w:ascii="Times New Roman" w:hAnsi="Times New Roman" w:cs="Times New Roman"/>
          <w:sz w:val="22"/>
        </w:rPr>
      </w:pPr>
      <w:r>
        <w:rPr>
          <w:sz w:val="22"/>
        </w:rPr>
        <w:t>Dabhol Power Company – Enron Fuels International (India) (Mike Robison)</w:t>
      </w:r>
    </w:p>
    <w:p>
      <w:pPr>
        <w:pStyle w:val="Normal"/>
        <w:numPr>
          <w:ilvl w:val="0"/>
          <w:numId w:val="23"/>
        </w:numPr>
        <w:tabs>
          <w:tab w:val="left" w:pos="720" w:leader="none"/>
        </w:tabs>
        <w:ind w:hanging="420" w:start="780" w:end="0"/>
        <w:rPr>
          <w:rFonts w:ascii="Times New Roman" w:hAnsi="Times New Roman" w:cs="Times New Roman"/>
          <w:sz w:val="22"/>
        </w:rPr>
      </w:pPr>
      <w:r>
        <w:rPr>
          <w:sz w:val="22"/>
        </w:rPr>
        <w:t>Master Liquids Purchase &amp; Sale Agreement (Alan Aronowitz/Marcus Nettelton)</w:t>
      </w:r>
    </w:p>
    <w:p>
      <w:pPr>
        <w:pStyle w:val="Normal"/>
        <w:numPr>
          <w:ilvl w:val="0"/>
          <w:numId w:val="23"/>
        </w:numPr>
        <w:tabs>
          <w:tab w:val="left" w:pos="720" w:leader="none"/>
        </w:tabs>
        <w:ind w:hanging="420" w:start="780" w:end="0"/>
        <w:rPr>
          <w:rFonts w:ascii="Times New Roman" w:hAnsi="Times New Roman" w:cs="Times New Roman"/>
          <w:sz w:val="22"/>
        </w:rPr>
      </w:pPr>
      <w:r>
        <w:rPr>
          <w:sz w:val="22"/>
        </w:rPr>
        <w:t>Agreement for Supply of Motor Gasoline and LS Diesel – Enron Fuels Carribbean, L.P./Peerless Oil &amp; Chemical, Inc. (Mike Robison)</w:t>
      </w:r>
    </w:p>
    <w:p>
      <w:pPr>
        <w:pStyle w:val="Normal"/>
        <w:numPr>
          <w:ilvl w:val="0"/>
          <w:numId w:val="23"/>
        </w:numPr>
        <w:tabs>
          <w:tab w:val="left" w:pos="720" w:leader="none"/>
        </w:tabs>
        <w:ind w:hanging="420" w:start="780" w:end="0"/>
        <w:rPr>
          <w:rFonts w:ascii="Times New Roman" w:hAnsi="Times New Roman" w:cs="Times New Roman"/>
          <w:sz w:val="22"/>
        </w:rPr>
      </w:pPr>
      <w:r>
        <w:rPr>
          <w:sz w:val="22"/>
        </w:rPr>
        <w:t>Orion Refinery Inventory Financing (Mike Robison)</w:t>
      </w:r>
    </w:p>
    <w:p>
      <w:pPr>
        <w:pStyle w:val="Normal"/>
        <w:rPr>
          <w:rFonts w:ascii="Times New Roman" w:hAnsi="Times New Roman" w:cs="Times New Roman"/>
          <w:b/>
          <w:bCs/>
          <w:sz w:val="22"/>
        </w:rPr>
      </w:pPr>
      <w:r>
        <w:rPr>
          <w:rFonts w:cs="Times New Roman" w:ascii="Times New Roman" w:hAnsi="Times New Roman"/>
          <w:b/>
          <w:bCs/>
          <w:sz w:val="22"/>
        </w:rPr>
      </w:r>
    </w:p>
    <w:p>
      <w:pPr>
        <w:pStyle w:val="Normal"/>
        <w:rPr>
          <w:rFonts w:ascii="Times New Roman" w:hAnsi="Times New Roman" w:cs="Times New Roman"/>
          <w:b/>
          <w:bCs/>
          <w:sz w:val="22"/>
        </w:rPr>
      </w:pPr>
      <w:r>
        <w:rPr>
          <w:b/>
          <w:bCs/>
          <w:sz w:val="22"/>
        </w:rPr>
        <w:t>Financial Products Trading</w:t>
      </w:r>
    </w:p>
    <w:p>
      <w:pPr>
        <w:pStyle w:val="Normal"/>
        <w:numPr>
          <w:ilvl w:val="0"/>
          <w:numId w:val="34"/>
        </w:numPr>
        <w:rPr>
          <w:rFonts w:ascii="Times New Roman" w:hAnsi="Times New Roman" w:cs="Times New Roman"/>
          <w:sz w:val="22"/>
        </w:rPr>
      </w:pPr>
      <w:r>
        <w:rPr>
          <w:sz w:val="22"/>
        </w:rPr>
        <w:t>Continue to add FX EOL products (Sara Shackleton)</w:t>
      </w:r>
    </w:p>
    <w:p>
      <w:pPr>
        <w:pStyle w:val="Normal"/>
        <w:numPr>
          <w:ilvl w:val="0"/>
          <w:numId w:val="18"/>
        </w:numPr>
        <w:rPr>
          <w:rFonts w:ascii="Times New Roman" w:hAnsi="Times New Roman" w:cs="Times New Roman"/>
          <w:sz w:val="22"/>
        </w:rPr>
      </w:pPr>
      <w:r>
        <w:rPr>
          <w:sz w:val="22"/>
        </w:rPr>
        <w:t>Tokyo financial products trading (Jane McBride)</w:t>
      </w:r>
    </w:p>
    <w:p>
      <w:pPr>
        <w:pStyle w:val="Normal"/>
        <w:numPr>
          <w:ilvl w:val="0"/>
          <w:numId w:val="18"/>
        </w:numPr>
        <w:rPr>
          <w:rFonts w:ascii="Times New Roman" w:hAnsi="Times New Roman" w:cs="Times New Roman"/>
          <w:sz w:val="22"/>
        </w:rPr>
      </w:pPr>
      <w:r>
        <w:rPr>
          <w:sz w:val="22"/>
        </w:rPr>
        <w:t>London Equity Trading (Paul Simons)</w:t>
      </w:r>
    </w:p>
    <w:p>
      <w:pPr>
        <w:pStyle w:val="Normal"/>
        <w:rPr>
          <w:rFonts w:ascii="Times New Roman" w:hAnsi="Times New Roman" w:cs="Times New Roman"/>
          <w:b/>
          <w:bCs/>
          <w:sz w:val="22"/>
        </w:rPr>
      </w:pPr>
      <w:r>
        <w:rPr>
          <w:rFonts w:cs="Times New Roman" w:ascii="Times New Roman" w:hAnsi="Times New Roman"/>
          <w:b/>
          <w:bCs/>
          <w:sz w:val="22"/>
        </w:rPr>
      </w:r>
    </w:p>
    <w:p>
      <w:pPr>
        <w:pStyle w:val="Normal"/>
        <w:rPr>
          <w:rFonts w:ascii="Times New Roman" w:hAnsi="Times New Roman" w:cs="Times New Roman"/>
          <w:b/>
          <w:bCs/>
          <w:sz w:val="22"/>
        </w:rPr>
      </w:pPr>
      <w:r>
        <w:rPr>
          <w:b/>
          <w:bCs/>
          <w:sz w:val="22"/>
        </w:rPr>
        <w:t>Transportation</w:t>
      </w:r>
    </w:p>
    <w:p>
      <w:pPr>
        <w:pStyle w:val="Normal"/>
        <w:numPr>
          <w:ilvl w:val="1"/>
          <w:numId w:val="27"/>
        </w:numPr>
        <w:tabs>
          <w:tab w:val="left" w:pos="360" w:leader="none"/>
          <w:tab w:val="left" w:pos="720" w:leader="none"/>
        </w:tabs>
        <w:ind w:hanging="1140" w:start="1500" w:end="0"/>
        <w:rPr>
          <w:rFonts w:ascii="Times New Roman" w:hAnsi="Times New Roman" w:cs="Times New Roman"/>
          <w:sz w:val="22"/>
        </w:rPr>
      </w:pPr>
      <w:r>
        <w:rPr>
          <w:sz w:val="22"/>
        </w:rPr>
        <w:t>Transportation Capacity Trading Start-Up (Alan Aronowitz/Mark Greenberg)</w:t>
      </w:r>
    </w:p>
    <w:p>
      <w:pPr>
        <w:pStyle w:val="Normal"/>
        <w:tabs>
          <w:tab w:val="left" w:pos="360" w:leader="none"/>
          <w:tab w:val="left" w:pos="720" w:leader="none"/>
        </w:tabs>
        <w:rPr>
          <w:rFonts w:ascii="Times New Roman" w:hAnsi="Times New Roman" w:cs="Times New Roman"/>
          <w:sz w:val="22"/>
        </w:rPr>
      </w:pPr>
      <w:r>
        <w:rPr>
          <w:rFonts w:cs="Times New Roman" w:ascii="Times New Roman" w:hAnsi="Times New Roman"/>
          <w:sz w:val="22"/>
        </w:rPr>
      </w:r>
    </w:p>
    <w:p>
      <w:pPr>
        <w:pStyle w:val="Normal"/>
        <w:keepNext w:val="true"/>
        <w:rPr>
          <w:rFonts w:ascii="Times New Roman" w:hAnsi="Times New Roman" w:cs="Times New Roman"/>
          <w:b/>
          <w:bCs/>
          <w:sz w:val="22"/>
        </w:rPr>
      </w:pPr>
      <w:r>
        <w:rPr>
          <w:b/>
          <w:bCs/>
          <w:sz w:val="22"/>
        </w:rPr>
        <w:t>Agricultural Trading (Sara Shackleton/Bob Bruce)</w:t>
      </w:r>
    </w:p>
    <w:p>
      <w:pPr>
        <w:pStyle w:val="Normal"/>
        <w:keepNext w:val="true"/>
        <w:ind w:start="360" w:end="0"/>
        <w:rPr>
          <w:rFonts w:ascii="Times New Roman" w:hAnsi="Times New Roman" w:cs="Times New Roman"/>
          <w:sz w:val="22"/>
        </w:rPr>
      </w:pPr>
      <w:r>
        <w:rPr>
          <w:sz w:val="22"/>
        </w:rPr>
        <w:t>1.   ATOM licensing (U.S.) (temporarily on hold)</w:t>
      </w:r>
    </w:p>
    <w:p>
      <w:pPr>
        <w:pStyle w:val="Normal"/>
        <w:keepNext w:val="true"/>
        <w:ind w:start="360" w:end="0"/>
        <w:rPr>
          <w:rFonts w:ascii="Times New Roman" w:hAnsi="Times New Roman" w:cs="Times New Roman"/>
          <w:sz w:val="22"/>
        </w:rPr>
      </w:pPr>
      <w:r>
        <w:rPr>
          <w:sz w:val="22"/>
        </w:rPr>
        <w:t>2.</w:t>
        <w:tab/>
        <w:t>CFTC issues (grains, meats)</w:t>
      </w:r>
    </w:p>
    <w:p>
      <w:pPr>
        <w:pStyle w:val="Normal"/>
        <w:keepNext w:val="true"/>
        <w:numPr>
          <w:ilvl w:val="0"/>
          <w:numId w:val="18"/>
        </w:numPr>
        <w:rPr>
          <w:rFonts w:ascii="Times New Roman" w:hAnsi="Times New Roman" w:cs="Times New Roman"/>
          <w:sz w:val="22"/>
        </w:rPr>
      </w:pPr>
      <w:r>
        <w:rPr>
          <w:sz w:val="22"/>
        </w:rPr>
        <w:t>Physical trading structures</w:t>
      </w:r>
    </w:p>
    <w:p>
      <w:pPr>
        <w:pStyle w:val="Normal"/>
        <w:keepNext w:val="true"/>
        <w:numPr>
          <w:ilvl w:val="0"/>
          <w:numId w:val="18"/>
        </w:numPr>
        <w:rPr>
          <w:rFonts w:ascii="Times New Roman" w:hAnsi="Times New Roman" w:cs="Times New Roman"/>
          <w:sz w:val="24"/>
        </w:rPr>
      </w:pPr>
      <w:r>
        <w:rPr>
          <w:sz w:val="22"/>
        </w:rPr>
        <w:t>Softs trading profile</w:t>
      </w:r>
    </w:p>
    <w:p>
      <w:pPr>
        <w:pStyle w:val="Normal"/>
        <w:keepNext w:val="true"/>
        <w:numPr>
          <w:ilvl w:val="0"/>
          <w:numId w:val="18"/>
        </w:numPr>
        <w:rPr>
          <w:rFonts w:ascii="Times New Roman" w:hAnsi="Times New Roman" w:cs="Times New Roman"/>
        </w:rPr>
      </w:pPr>
      <w:r>
        <w:rPr/>
        <w:t xml:space="preserve">Development of financial trade proposals:  UBS/Enron Australia/Macquarie </w:t>
      </w:r>
    </w:p>
    <w:p>
      <w:pPr>
        <w:pStyle w:val="Normal"/>
        <w:numPr>
          <w:ilvl w:val="0"/>
          <w:numId w:val="18"/>
        </w:numPr>
        <w:rPr>
          <w:rFonts w:ascii="Times New Roman" w:hAnsi="Times New Roman" w:cs="Times New Roman"/>
        </w:rPr>
      </w:pPr>
      <w:r>
        <w:rPr/>
        <w:t xml:space="preserve">Mid-February target for EOL "soft" (sugar/coffee/cocoa) swaps tied to NYBOT and LIFFE prices </w:t>
      </w:r>
    </w:p>
    <w:p>
      <w:pPr>
        <w:pStyle w:val="Normal"/>
        <w:keepNext w:val="true"/>
        <w:numPr>
          <w:ilvl w:val="0"/>
          <w:numId w:val="18"/>
        </w:numPr>
        <w:rPr>
          <w:rFonts w:ascii="Times New Roman" w:hAnsi="Times New Roman" w:cs="Times New Roman"/>
        </w:rPr>
      </w:pPr>
      <w:r>
        <w:rPr/>
        <w:t xml:space="preserve">Development of prototype grain and meat physical transactions </w:t>
      </w:r>
    </w:p>
    <w:p>
      <w:pPr>
        <w:pStyle w:val="Normal"/>
        <w:autoSpaceDE w:val="false"/>
        <w:spacing w:lineRule="atLeast" w:line="240"/>
        <w:ind w:firstLine="360" w:end="0"/>
        <w:rPr>
          <w:rFonts w:ascii="Times New Roman" w:hAnsi="Times New Roman" w:cs="Times New Roman"/>
        </w:rPr>
      </w:pPr>
      <w:r>
        <w:rPr/>
        <w:t>9.</w:t>
        <w:tab/>
        <w:t>European agricultural issues (Paul Simons)</w:t>
      </w:r>
    </w:p>
    <w:p>
      <w:pPr>
        <w:pStyle w:val="Normal"/>
        <w:autoSpaceDE w:val="false"/>
        <w:spacing w:lineRule="atLeast" w:line="240"/>
        <w:ind w:firstLine="360" w:end="0"/>
        <w:rPr>
          <w:rFonts w:ascii="Times New Roman" w:hAnsi="Times New Roman" w:cs="Times New Roman"/>
          <w:sz w:val="22"/>
        </w:rPr>
      </w:pPr>
      <w:r>
        <w:rPr>
          <w:sz w:val="22"/>
        </w:rPr>
        <w:t>10.</w:t>
        <w:tab/>
        <w:t>Ethanol plant project financing</w:t>
      </w:r>
    </w:p>
    <w:p>
      <w:pPr>
        <w:pStyle w:val="Normal"/>
        <w:rPr>
          <w:rFonts w:ascii="Times New Roman" w:hAnsi="Times New Roman" w:cs="Times New Roman"/>
          <w:b/>
          <w:bCs/>
          <w:sz w:val="22"/>
        </w:rPr>
      </w:pPr>
      <w:r>
        <w:rPr>
          <w:rFonts w:cs="Times New Roman" w:ascii="Times New Roman" w:hAnsi="Times New Roman"/>
          <w:b/>
          <w:bCs/>
          <w:sz w:val="22"/>
        </w:rPr>
      </w:r>
    </w:p>
    <w:p>
      <w:pPr>
        <w:pStyle w:val="Normal"/>
        <w:rPr>
          <w:rFonts w:ascii="Times New Roman" w:hAnsi="Times New Roman" w:cs="Times New Roman"/>
          <w:b/>
          <w:bCs/>
          <w:sz w:val="22"/>
        </w:rPr>
      </w:pPr>
      <w:r>
        <w:rPr>
          <w:rFonts w:cs="Times New Roman" w:ascii="Times New Roman" w:hAnsi="Times New Roman"/>
          <w:b/>
          <w:bCs/>
          <w:sz w:val="22"/>
        </w:rPr>
      </w:r>
    </w:p>
    <w:p>
      <w:pPr>
        <w:pStyle w:val="Normal"/>
        <w:rPr>
          <w:rFonts w:ascii="Times New Roman" w:hAnsi="Times New Roman" w:cs="Times New Roman"/>
          <w:b/>
          <w:bCs/>
          <w:sz w:val="22"/>
        </w:rPr>
      </w:pPr>
      <w:r>
        <w:rPr>
          <w:b/>
          <w:bCs/>
          <w:sz w:val="22"/>
        </w:rPr>
        <w:t>Weather (Brent Hendry)</w:t>
      </w:r>
    </w:p>
    <w:p>
      <w:pPr>
        <w:pStyle w:val="Normal"/>
        <w:autoSpaceDE w:val="false"/>
        <w:spacing w:lineRule="atLeast" w:line="240"/>
        <w:ind w:firstLine="360" w:end="0"/>
        <w:rPr>
          <w:rFonts w:ascii="Times New Roman" w:hAnsi="Times New Roman" w:cs="Times New Roman"/>
          <w:color w:val="000000"/>
          <w:sz w:val="22"/>
          <w:szCs w:val="22"/>
        </w:rPr>
      </w:pPr>
      <w:r>
        <w:rPr>
          <w:color w:val="000000"/>
          <w:sz w:val="22"/>
          <w:szCs w:val="22"/>
        </w:rPr>
        <w:t>1.</w:t>
        <w:tab/>
        <w:t>3 Year Sacramento Municipal Utility District Precipitation Collar</w:t>
      </w:r>
    </w:p>
    <w:p>
      <w:pPr>
        <w:pStyle w:val="Normal"/>
        <w:autoSpaceDE w:val="false"/>
        <w:spacing w:lineRule="atLeast" w:line="240"/>
        <w:ind w:hanging="360" w:start="720" w:end="0"/>
        <w:rPr>
          <w:rFonts w:ascii="Times New Roman" w:hAnsi="Times New Roman" w:cs="Times New Roman"/>
          <w:color w:val="000000"/>
          <w:sz w:val="22"/>
          <w:szCs w:val="22"/>
        </w:rPr>
      </w:pPr>
      <w:r>
        <w:rPr>
          <w:color w:val="000000"/>
          <w:sz w:val="22"/>
          <w:szCs w:val="22"/>
        </w:rPr>
        <w:t>2.</w:t>
        <w:tab/>
        <w:t>Three reinsurance hedges for the Sacramento Municipal Utility District Precipitation Collar</w:t>
      </w:r>
    </w:p>
    <w:p>
      <w:pPr>
        <w:pStyle w:val="Normal"/>
        <w:autoSpaceDE w:val="false"/>
        <w:spacing w:lineRule="atLeast" w:line="240"/>
        <w:ind w:firstLine="360" w:end="0"/>
        <w:rPr>
          <w:rFonts w:ascii="Times New Roman" w:hAnsi="Times New Roman" w:cs="Times New Roman"/>
          <w:color w:val="000000"/>
          <w:sz w:val="22"/>
          <w:szCs w:val="22"/>
        </w:rPr>
      </w:pPr>
      <w:r>
        <w:rPr>
          <w:color w:val="000000"/>
          <w:sz w:val="22"/>
          <w:szCs w:val="22"/>
        </w:rPr>
        <w:t>3.</w:t>
        <w:tab/>
        <w:t>ELRiX online weather trading site and documentation</w:t>
      </w:r>
    </w:p>
    <w:p>
      <w:pPr>
        <w:pStyle w:val="Normal"/>
        <w:tabs>
          <w:tab w:val="clear" w:pos="720"/>
          <w:tab w:val="left" w:pos="360" w:leader="none"/>
        </w:tabs>
        <w:autoSpaceDE w:val="false"/>
        <w:spacing w:lineRule="atLeast" w:line="240"/>
        <w:rPr>
          <w:rFonts w:ascii="Times New Roman" w:hAnsi="Times New Roman" w:cs="Times New Roman"/>
          <w:color w:val="000000"/>
          <w:sz w:val="22"/>
          <w:szCs w:val="22"/>
        </w:rPr>
      </w:pPr>
      <w:r>
        <w:rPr>
          <w:color w:val="000000"/>
          <w:sz w:val="22"/>
          <w:szCs w:val="22"/>
        </w:rPr>
        <w:tab/>
        <w:t>4.</w:t>
        <w:tab/>
        <w:t>BAREP weather transactions</w:t>
      </w:r>
    </w:p>
    <w:p>
      <w:pPr>
        <w:pStyle w:val="Normal"/>
        <w:autoSpaceDE w:val="false"/>
        <w:spacing w:lineRule="atLeast" w:line="240"/>
        <w:ind w:firstLine="360" w:end="0"/>
        <w:rPr>
          <w:rFonts w:ascii="Times New Roman" w:hAnsi="Times New Roman" w:cs="Times New Roman"/>
          <w:color w:val="000000"/>
          <w:sz w:val="22"/>
          <w:szCs w:val="22"/>
        </w:rPr>
      </w:pPr>
      <w:r>
        <w:rPr>
          <w:color w:val="000000"/>
          <w:sz w:val="22"/>
          <w:szCs w:val="22"/>
        </w:rPr>
        <w:t>5.</w:t>
        <w:tab/>
        <w:t>WSI Services Agreement</w:t>
      </w:r>
    </w:p>
    <w:p>
      <w:pPr>
        <w:pStyle w:val="Normal"/>
        <w:autoSpaceDE w:val="false"/>
        <w:spacing w:lineRule="atLeast" w:line="240"/>
        <w:ind w:firstLine="360" w:end="0"/>
        <w:rPr>
          <w:rFonts w:ascii="Times New Roman" w:hAnsi="Times New Roman" w:cs="Times New Roman"/>
          <w:color w:val="000000"/>
          <w:sz w:val="22"/>
          <w:szCs w:val="22"/>
        </w:rPr>
      </w:pPr>
      <w:r>
        <w:rPr>
          <w:color w:val="000000"/>
          <w:sz w:val="22"/>
          <w:szCs w:val="22"/>
        </w:rPr>
        <w:t>6.</w:t>
        <w:tab/>
        <w:t>Power Demand Swaps</w:t>
      </w:r>
    </w:p>
    <w:p>
      <w:pPr>
        <w:pStyle w:val="Normal"/>
        <w:rPr>
          <w:rFonts w:ascii="Times New Roman" w:hAnsi="Times New Roman" w:cs="Times New Roman"/>
          <w:b/>
          <w:bCs/>
          <w:color w:val="000000"/>
          <w:sz w:val="22"/>
          <w:szCs w:val="24"/>
        </w:rPr>
      </w:pPr>
      <w:r>
        <w:rPr>
          <w:rFonts w:cs="Times New Roman" w:ascii="Times New Roman" w:hAnsi="Times New Roman"/>
          <w:b/>
          <w:bCs/>
          <w:color w:val="000000"/>
          <w:sz w:val="22"/>
          <w:szCs w:val="24"/>
        </w:rPr>
      </w:r>
    </w:p>
    <w:p>
      <w:pPr>
        <w:pStyle w:val="Normal"/>
        <w:keepNext w:val="true"/>
        <w:keepLines/>
        <w:rPr>
          <w:rFonts w:ascii="Times New Roman" w:hAnsi="Times New Roman" w:cs="Times New Roman"/>
          <w:b/>
          <w:bCs/>
          <w:sz w:val="22"/>
        </w:rPr>
      </w:pPr>
      <w:r>
        <w:rPr>
          <w:b/>
          <w:bCs/>
          <w:sz w:val="22"/>
        </w:rPr>
        <w:t>Insurance (Lou Stoler)</w:t>
      </w:r>
    </w:p>
    <w:p>
      <w:pPr>
        <w:pStyle w:val="Header"/>
        <w:keepNext w:val="true"/>
        <w:keepLines/>
        <w:numPr>
          <w:ilvl w:val="0"/>
          <w:numId w:val="35"/>
        </w:numPr>
        <w:tabs>
          <w:tab w:val="left" w:pos="360" w:leader="none"/>
          <w:tab w:val="left" w:pos="720" w:leader="none"/>
          <w:tab w:val="center" w:pos="4320" w:leader="none"/>
          <w:tab w:val="right" w:pos="8640" w:leader="none"/>
        </w:tabs>
        <w:rPr>
          <w:sz w:val="22"/>
        </w:rPr>
      </w:pPr>
      <w:r>
        <w:rPr>
          <w:sz w:val="22"/>
        </w:rPr>
        <w:t>Peaker Project (term financing with insurance credit wrap)</w:t>
      </w:r>
    </w:p>
    <w:p>
      <w:pPr>
        <w:pStyle w:val="Normal"/>
        <w:keepNext w:val="true"/>
        <w:keepLines/>
        <w:numPr>
          <w:ilvl w:val="0"/>
          <w:numId w:val="5"/>
        </w:numPr>
        <w:tabs>
          <w:tab w:val="left" w:pos="720" w:leader="none"/>
        </w:tabs>
        <w:rPr>
          <w:rFonts w:ascii="Times New Roman" w:hAnsi="Times New Roman" w:cs="Times New Roman"/>
          <w:sz w:val="22"/>
        </w:rPr>
      </w:pPr>
      <w:r>
        <w:rPr>
          <w:sz w:val="22"/>
        </w:rPr>
        <w:t>Enron Re (development projects)</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Heading2"/>
        <w:rPr>
          <w:rFonts w:eastAsia="Arial Unicode MS"/>
        </w:rPr>
      </w:pPr>
      <w:r>
        <w:rPr/>
        <w:t>LNG</w:t>
      </w:r>
    </w:p>
    <w:p>
      <w:pPr>
        <w:pStyle w:val="Normal"/>
        <w:numPr>
          <w:ilvl w:val="0"/>
          <w:numId w:val="36"/>
        </w:numPr>
        <w:jc w:val="both"/>
        <w:rPr>
          <w:rFonts w:ascii="Times New Roman" w:hAnsi="Times New Roman" w:cs="Times New Roman"/>
          <w:sz w:val="22"/>
        </w:rPr>
      </w:pPr>
      <w:r>
        <w:rPr>
          <w:sz w:val="22"/>
        </w:rPr>
        <w:t>Jose [Venezuela] LNG Export Facility (Ned Crady/Nancy Corbet)</w:t>
      </w:r>
    </w:p>
    <w:p>
      <w:pPr>
        <w:pStyle w:val="Normal"/>
        <w:numPr>
          <w:ilvl w:val="0"/>
          <w:numId w:val="3"/>
        </w:numPr>
        <w:jc w:val="both"/>
        <w:rPr>
          <w:rFonts w:ascii="Times New Roman" w:hAnsi="Times New Roman" w:cs="Times New Roman"/>
          <w:sz w:val="22"/>
        </w:rPr>
      </w:pPr>
      <w:r>
        <w:rPr>
          <w:sz w:val="22"/>
        </w:rPr>
        <w:t>LNG Sale to El Paso Marketing [Elba Island, Georgia Receiving Terminal] (Nancy Corbet)</w:t>
      </w:r>
    </w:p>
    <w:p>
      <w:pPr>
        <w:pStyle w:val="Normal"/>
        <w:numPr>
          <w:ilvl w:val="0"/>
          <w:numId w:val="3"/>
        </w:numPr>
        <w:jc w:val="both"/>
        <w:rPr>
          <w:rFonts w:ascii="Times New Roman" w:hAnsi="Times New Roman" w:cs="Times New Roman"/>
          <w:sz w:val="22"/>
        </w:rPr>
      </w:pPr>
      <w:r>
        <w:rPr>
          <w:sz w:val="22"/>
        </w:rPr>
        <w:t>EcoElectrica [Puerto Rico] LNG Receiving &amp; Regasification Terminal/Power Plant (Coralina Rivera)</w:t>
      </w:r>
    </w:p>
    <w:p>
      <w:pPr>
        <w:pStyle w:val="Normal"/>
        <w:numPr>
          <w:ilvl w:val="0"/>
          <w:numId w:val="3"/>
        </w:numPr>
        <w:jc w:val="both"/>
        <w:rPr>
          <w:rFonts w:ascii="Times New Roman" w:hAnsi="Times New Roman" w:cs="Times New Roman"/>
          <w:sz w:val="22"/>
        </w:rPr>
      </w:pPr>
      <w:r>
        <w:rPr>
          <w:sz w:val="22"/>
        </w:rPr>
        <w:t>EcoElectrica [Puerto Rico] LNG Receiving Terminal Expansion/Gas Distribution (Coralina Rivera)</w:t>
      </w:r>
    </w:p>
    <w:p>
      <w:pPr>
        <w:pStyle w:val="Normal"/>
        <w:numPr>
          <w:ilvl w:val="0"/>
          <w:numId w:val="3"/>
        </w:numPr>
        <w:jc w:val="both"/>
        <w:rPr>
          <w:rFonts w:ascii="Times New Roman" w:hAnsi="Times New Roman" w:cs="Times New Roman"/>
          <w:sz w:val="22"/>
        </w:rPr>
      </w:pPr>
      <w:r>
        <w:rPr>
          <w:sz w:val="22"/>
        </w:rPr>
        <w:t>Bahamas LNG Receiving Terminal/Export Pipeline (Ned Crady)</w:t>
      </w:r>
    </w:p>
    <w:p>
      <w:pPr>
        <w:pStyle w:val="Normal"/>
        <w:numPr>
          <w:ilvl w:val="0"/>
          <w:numId w:val="3"/>
        </w:numPr>
        <w:jc w:val="both"/>
        <w:rPr>
          <w:rFonts w:ascii="Times New Roman" w:hAnsi="Times New Roman" w:cs="Times New Roman"/>
          <w:sz w:val="22"/>
        </w:rPr>
      </w:pPr>
      <w:r>
        <w:rPr>
          <w:sz w:val="22"/>
        </w:rPr>
        <w:t>South Florida [Tampa] LNG Receiving Terminal (Ned Crady)</w:t>
      </w:r>
    </w:p>
    <w:p>
      <w:pPr>
        <w:pStyle w:val="Normal"/>
        <w:numPr>
          <w:ilvl w:val="0"/>
          <w:numId w:val="3"/>
        </w:numPr>
        <w:jc w:val="both"/>
        <w:rPr>
          <w:rFonts w:ascii="Times New Roman" w:hAnsi="Times New Roman" w:cs="Times New Roman"/>
          <w:sz w:val="22"/>
        </w:rPr>
      </w:pPr>
      <w:r>
        <w:rPr>
          <w:sz w:val="22"/>
        </w:rPr>
        <w:t>Dominican Republic LNG Receiving Terminal/Power Plant (Coralina Rivera)</w:t>
      </w:r>
    </w:p>
    <w:p>
      <w:pPr>
        <w:pStyle w:val="Normal"/>
        <w:numPr>
          <w:ilvl w:val="0"/>
          <w:numId w:val="3"/>
        </w:numPr>
        <w:jc w:val="both"/>
        <w:rPr>
          <w:rFonts w:ascii="Times New Roman" w:hAnsi="Times New Roman" w:cs="Times New Roman"/>
          <w:sz w:val="22"/>
        </w:rPr>
      </w:pPr>
      <w:r>
        <w:rPr>
          <w:sz w:val="22"/>
        </w:rPr>
        <w:t>MetGas/Enron Energy Marketing [Dabhol, India] LNG Fuel Supply &amp; Fuel Management (Dan Rogers/Nancy Corbet)</w:t>
      </w:r>
    </w:p>
    <w:p>
      <w:pPr>
        <w:pStyle w:val="Normal"/>
        <w:numPr>
          <w:ilvl w:val="0"/>
          <w:numId w:val="3"/>
        </w:numPr>
        <w:jc w:val="both"/>
        <w:rPr>
          <w:rFonts w:ascii="Times New Roman" w:hAnsi="Times New Roman" w:cs="Times New Roman"/>
          <w:sz w:val="22"/>
        </w:rPr>
      </w:pPr>
      <w:r>
        <w:rPr>
          <w:sz w:val="22"/>
        </w:rPr>
        <w:t>Dabhol IPP Phase II LNG Fuel Supply &amp; Fuel Management (Dan Rogers)</w:t>
      </w:r>
    </w:p>
    <w:p>
      <w:pPr>
        <w:pStyle w:val="Normal"/>
        <w:numPr>
          <w:ilvl w:val="0"/>
          <w:numId w:val="3"/>
        </w:numPr>
        <w:jc w:val="both"/>
        <w:rPr>
          <w:rFonts w:ascii="Times New Roman" w:hAnsi="Times New Roman" w:cs="Times New Roman"/>
          <w:sz w:val="22"/>
        </w:rPr>
      </w:pPr>
      <w:r>
        <w:rPr>
          <w:sz w:val="22"/>
        </w:rPr>
        <w:t>Australia LNG Fuel Origination/Merchant Trading (Nancy Corbet)</w:t>
      </w:r>
    </w:p>
    <w:p>
      <w:pPr>
        <w:pStyle w:val="Normal"/>
        <w:numPr>
          <w:ilvl w:val="0"/>
          <w:numId w:val="3"/>
        </w:numPr>
        <w:jc w:val="both"/>
        <w:rPr>
          <w:rFonts w:ascii="Times New Roman" w:hAnsi="Times New Roman" w:cs="Times New Roman"/>
          <w:sz w:val="22"/>
        </w:rPr>
      </w:pPr>
      <w:r>
        <w:rPr>
          <w:sz w:val="22"/>
        </w:rPr>
        <w:t>Japan LNG Receiving Terminal (Nancy Corbet)</w:t>
      </w:r>
    </w:p>
    <w:p>
      <w:pPr>
        <w:pStyle w:val="Normal"/>
        <w:numPr>
          <w:ilvl w:val="0"/>
          <w:numId w:val="3"/>
        </w:numPr>
        <w:jc w:val="both"/>
        <w:rPr>
          <w:rFonts w:ascii="Times New Roman" w:hAnsi="Times New Roman" w:cs="Times New Roman"/>
          <w:sz w:val="22"/>
        </w:rPr>
      </w:pPr>
      <w:r>
        <w:rPr>
          <w:sz w:val="22"/>
        </w:rPr>
        <w:t>AdGas [Abu Dhabi] Mid-Term LNG Fuel Origination/Merchant Trading (Dan Rogers)</w:t>
      </w:r>
    </w:p>
    <w:p>
      <w:pPr>
        <w:pStyle w:val="Normal"/>
        <w:numPr>
          <w:ilvl w:val="0"/>
          <w:numId w:val="3"/>
        </w:numPr>
        <w:jc w:val="both"/>
        <w:rPr>
          <w:rFonts w:ascii="Times New Roman" w:hAnsi="Times New Roman" w:cs="Times New Roman"/>
          <w:sz w:val="22"/>
        </w:rPr>
      </w:pPr>
      <w:r>
        <w:rPr>
          <w:sz w:val="22"/>
        </w:rPr>
        <w:t>Spot LNG Fuel Origination/Merchant Trading (Dan Rogers)</w:t>
      </w:r>
    </w:p>
    <w:p>
      <w:pPr>
        <w:pStyle w:val="Normal"/>
        <w:numPr>
          <w:ilvl w:val="0"/>
          <w:numId w:val="3"/>
        </w:numPr>
        <w:jc w:val="both"/>
        <w:rPr>
          <w:rFonts w:ascii="Times New Roman" w:hAnsi="Times New Roman" w:cs="Times New Roman"/>
          <w:sz w:val="22"/>
        </w:rPr>
      </w:pPr>
      <w:r>
        <w:rPr>
          <w:sz w:val="22"/>
        </w:rPr>
        <w:t>Tokyo Gas Master LNG Backhaul Capacity Transportation Agreement (Dan Rogers/Nancy Corbet)</w:t>
      </w:r>
    </w:p>
    <w:p>
      <w:pPr>
        <w:pStyle w:val="Normal"/>
        <w:numPr>
          <w:ilvl w:val="0"/>
          <w:numId w:val="3"/>
        </w:numPr>
        <w:jc w:val="both"/>
        <w:rPr>
          <w:rFonts w:ascii="Times New Roman" w:hAnsi="Times New Roman" w:cs="Times New Roman"/>
          <w:sz w:val="22"/>
        </w:rPr>
      </w:pPr>
      <w:r>
        <w:rPr>
          <w:sz w:val="22"/>
        </w:rPr>
        <w:t>AdGas [Abu Dhabi] Master LNG Backhaul Capacity Transportation Agreement (Dan Rogers)</w:t>
      </w:r>
    </w:p>
    <w:p>
      <w:pPr>
        <w:pStyle w:val="Normal"/>
        <w:numPr>
          <w:ilvl w:val="0"/>
          <w:numId w:val="3"/>
        </w:numPr>
        <w:jc w:val="both"/>
        <w:rPr>
          <w:rFonts w:ascii="Times New Roman" w:hAnsi="Times New Roman" w:cs="Times New Roman"/>
          <w:sz w:val="22"/>
        </w:rPr>
      </w:pPr>
      <w:r>
        <w:rPr>
          <w:sz w:val="22"/>
        </w:rPr>
        <w:t>Domestic [US] LNG Import Matters (Dan Rogers/Nancy Corbet)</w:t>
      </w:r>
    </w:p>
    <w:p>
      <w:pPr>
        <w:pStyle w:val="Normal"/>
        <w:numPr>
          <w:ilvl w:val="0"/>
          <w:numId w:val="3"/>
        </w:numPr>
        <w:jc w:val="both"/>
        <w:rPr>
          <w:rFonts w:ascii="Times New Roman" w:hAnsi="Times New Roman" w:cs="Times New Roman"/>
          <w:sz w:val="22"/>
        </w:rPr>
      </w:pPr>
      <w:r>
        <w:rPr>
          <w:sz w:val="22"/>
        </w:rPr>
        <w:t>Nigeria LNG Master Spot LNG Sale &amp; Purchase Agreement (Nancy Corbet)</w:t>
      </w:r>
    </w:p>
    <w:p>
      <w:pPr>
        <w:pStyle w:val="Normal"/>
        <w:numPr>
          <w:ilvl w:val="0"/>
          <w:numId w:val="3"/>
        </w:numPr>
        <w:jc w:val="both"/>
        <w:rPr>
          <w:rFonts w:ascii="Times New Roman" w:hAnsi="Times New Roman" w:cs="Times New Roman"/>
          <w:sz w:val="22"/>
        </w:rPr>
      </w:pPr>
      <w:r>
        <w:rPr>
          <w:sz w:val="22"/>
        </w:rPr>
        <w:t>Malaysia LNG Master Spot LNG Sale &amp; Purchase Agreement (Nancy Corbet)</w:t>
      </w:r>
    </w:p>
    <w:p>
      <w:pPr>
        <w:pStyle w:val="Normal"/>
        <w:numPr>
          <w:ilvl w:val="0"/>
          <w:numId w:val="3"/>
        </w:numPr>
        <w:jc w:val="both"/>
        <w:rPr>
          <w:rFonts w:ascii="Times New Roman" w:hAnsi="Times New Roman" w:cs="Times New Roman"/>
          <w:sz w:val="22"/>
        </w:rPr>
      </w:pPr>
      <w:r>
        <w:rPr>
          <w:sz w:val="22"/>
        </w:rPr>
        <w:t>Enron LNG Information Exchange (Dan Rogers/Nancy Corbet)</w:t>
      </w:r>
    </w:p>
    <w:p>
      <w:pPr>
        <w:pStyle w:val="Normal"/>
        <w:ind w:hanging="360" w:end="0"/>
        <w:jc w:val="both"/>
        <w:rPr>
          <w:rFonts w:ascii="Times New Roman" w:hAnsi="Times New Roman" w:cs="Times New Roman"/>
          <w:sz w:val="22"/>
        </w:rPr>
      </w:pPr>
      <w:r>
        <w:rPr>
          <w:rFonts w:eastAsia="Tms Rmn;Times New Roman"/>
          <w:sz w:val="22"/>
        </w:rPr>
        <w:t xml:space="preserve"> </w:t>
      </w:r>
    </w:p>
    <w:p>
      <w:pPr>
        <w:pStyle w:val="Heading2"/>
        <w:rPr>
          <w:rFonts w:eastAsia="Arial Unicode MS"/>
        </w:rPr>
      </w:pPr>
      <w:r>
        <w:rPr/>
        <w:t>Middle East</w:t>
      </w:r>
    </w:p>
    <w:p>
      <w:pPr>
        <w:pStyle w:val="Normal"/>
        <w:numPr>
          <w:ilvl w:val="0"/>
          <w:numId w:val="37"/>
        </w:numPr>
        <w:jc w:val="both"/>
        <w:rPr>
          <w:rFonts w:ascii="Times New Roman" w:hAnsi="Times New Roman" w:cs="Times New Roman"/>
          <w:sz w:val="22"/>
        </w:rPr>
      </w:pPr>
      <w:r>
        <w:rPr>
          <w:sz w:val="22"/>
        </w:rPr>
        <w:t>Project Dolphin [Qatar-UAE-Oman] (Dan Rogers/Johan Gerrese)</w:t>
      </w:r>
    </w:p>
    <w:p>
      <w:pPr>
        <w:pStyle w:val="Normal"/>
        <w:numPr>
          <w:ilvl w:val="0"/>
          <w:numId w:val="15"/>
        </w:numPr>
        <w:jc w:val="both"/>
        <w:rPr>
          <w:rFonts w:ascii="Times New Roman" w:hAnsi="Times New Roman" w:cs="Times New Roman"/>
          <w:sz w:val="22"/>
        </w:rPr>
      </w:pPr>
      <w:r>
        <w:rPr>
          <w:sz w:val="22"/>
        </w:rPr>
        <w:t>Project Atlantis [UAE] (Todd Culwell/Johan Gerrese)</w:t>
      </w:r>
    </w:p>
    <w:p>
      <w:pPr>
        <w:pStyle w:val="Normal"/>
        <w:numPr>
          <w:ilvl w:val="0"/>
          <w:numId w:val="15"/>
        </w:numPr>
        <w:jc w:val="both"/>
        <w:rPr>
          <w:rFonts w:ascii="Times New Roman" w:hAnsi="Times New Roman" w:cs="Times New Roman"/>
          <w:sz w:val="22"/>
        </w:rPr>
      </w:pPr>
      <w:r>
        <w:rPr>
          <w:sz w:val="22"/>
        </w:rPr>
        <w:t>Saudi Arabia Gas Development (Dan Rogers)</w:t>
      </w:r>
    </w:p>
    <w:p>
      <w:pPr>
        <w:pStyle w:val="Normal"/>
        <w:numPr>
          <w:ilvl w:val="0"/>
          <w:numId w:val="15"/>
        </w:numPr>
        <w:jc w:val="both"/>
        <w:rPr>
          <w:rFonts w:ascii="Times New Roman" w:hAnsi="Times New Roman" w:cs="Times New Roman"/>
          <w:sz w:val="22"/>
        </w:rPr>
      </w:pPr>
      <w:r>
        <w:rPr>
          <w:sz w:val="22"/>
        </w:rPr>
        <w:t>Oman Gas Distribution (Johan Gerrese/Todd Culwell)</w:t>
      </w:r>
    </w:p>
    <w:p>
      <w:pPr>
        <w:pStyle w:val="Normal"/>
        <w:numPr>
          <w:ilvl w:val="0"/>
          <w:numId w:val="15"/>
        </w:numPr>
        <w:jc w:val="both"/>
        <w:rPr>
          <w:rFonts w:ascii="Times New Roman" w:hAnsi="Times New Roman" w:cs="Times New Roman"/>
          <w:sz w:val="22"/>
        </w:rPr>
      </w:pPr>
      <w:r>
        <w:rPr>
          <w:sz w:val="22"/>
        </w:rPr>
        <w:t>Egypt-Jordan Gas Pipeline (Johan Gerrese)</w:t>
      </w:r>
    </w:p>
    <w:p>
      <w:pPr>
        <w:pStyle w:val="Normal"/>
        <w:numPr>
          <w:ilvl w:val="0"/>
          <w:numId w:val="15"/>
        </w:numPr>
        <w:jc w:val="both"/>
        <w:rPr>
          <w:rFonts w:ascii="Times New Roman" w:hAnsi="Times New Roman" w:cs="Times New Roman"/>
          <w:sz w:val="22"/>
        </w:rPr>
      </w:pPr>
      <w:r>
        <w:rPr>
          <w:sz w:val="22"/>
        </w:rPr>
        <w:t>Gaza [Palestine] 140 MW IPP Sell-Down (Dan Rogers/Todd Culwell)</w:t>
      </w:r>
    </w:p>
    <w:p>
      <w:pPr>
        <w:pStyle w:val="Normal"/>
        <w:numPr>
          <w:ilvl w:val="0"/>
          <w:numId w:val="15"/>
        </w:numPr>
        <w:jc w:val="both"/>
        <w:rPr>
          <w:rFonts w:ascii="Times New Roman" w:hAnsi="Times New Roman" w:cs="Times New Roman"/>
          <w:sz w:val="22"/>
        </w:rPr>
      </w:pPr>
      <w:r>
        <w:rPr>
          <w:sz w:val="22"/>
        </w:rPr>
        <w:t>Tabreed District Cooling [UAE] (Johan Gerrese)</w:t>
      </w:r>
    </w:p>
    <w:p>
      <w:pPr>
        <w:pStyle w:val="Normal"/>
        <w:numPr>
          <w:ilvl w:val="0"/>
          <w:numId w:val="15"/>
        </w:numPr>
        <w:jc w:val="both"/>
        <w:rPr>
          <w:rFonts w:ascii="Times New Roman" w:hAnsi="Times New Roman" w:cs="Times New Roman"/>
          <w:sz w:val="22"/>
        </w:rPr>
      </w:pPr>
      <w:r>
        <w:rPr>
          <w:sz w:val="22"/>
        </w:rPr>
        <w:t>Sadaf 340 MW IPP [Saudi Arabia] (Johan Gerrese/Todd Culwell)</w:t>
      </w:r>
    </w:p>
    <w:p>
      <w:pPr>
        <w:pStyle w:val="Normal"/>
        <w:numPr>
          <w:ilvl w:val="0"/>
          <w:numId w:val="15"/>
        </w:numPr>
        <w:jc w:val="both"/>
        <w:rPr>
          <w:rFonts w:ascii="Times New Roman" w:hAnsi="Times New Roman" w:cs="Times New Roman"/>
          <w:sz w:val="22"/>
        </w:rPr>
      </w:pPr>
      <w:r>
        <w:rPr>
          <w:sz w:val="22"/>
        </w:rPr>
        <w:t>Syria Power Trading (Johan Gerrese)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sectPr>
      <w:headerReference w:type="default" r:id="rId2"/>
      <w:footerReference w:type="default" r:id="rId3"/>
      <w:type w:val="nextPage"/>
      <w:pgSz w:w="12240" w:h="15840"/>
      <w:pgMar w:left="720" w:right="720" w:gutter="0" w:header="288" w:top="576"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Rounded MT Bol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/mnt/main-storage/datasets/enron-docs/doc/Monthly_Report_Dec_JVD.doc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p>
    <w:pPr>
      <w:pStyle w:val="Header"/>
      <w:widowControl/>
      <w:jc w:val="end"/>
      <w:rPr>
        <w:b/>
        <w:i/>
        <w:i/>
      </w:rPr>
    </w:pPr>
    <w:r>
      <w:rPr>
        <w:b/>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720"/>
      </w:p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decimal"/>
      <w:lvlText w:val="%1."/>
      <w:lvlJc w:val="start"/>
      <w:pPr>
        <w:tabs>
          <w:tab w:val="num" w:pos="2160"/>
        </w:tabs>
        <w:ind w:start="2160" w:hanging="360"/>
      </w:p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decimal"/>
      <w:lvlText w:val="%1."/>
      <w:lvlJc w:val="start"/>
      <w:pPr>
        <w:tabs>
          <w:tab w:val="num" w:pos="720"/>
        </w:tabs>
        <w:ind w:start="720" w:hanging="360"/>
      </w:p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720"/>
        </w:tabs>
        <w:ind w:start="720" w:hanging="360"/>
      </w:pPr>
      <w:rPr/>
    </w:lvl>
  </w:abstractNum>
  <w:abstractNum w:abstractNumId="10">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11">
    <w:lvl w:ilvl="0">
      <w:start w:val="1"/>
      <w:numFmt w:val="decimal"/>
      <w:lvlText w:val="%1."/>
      <w:lvlJc w:val="start"/>
      <w:pPr>
        <w:tabs>
          <w:tab w:val="num" w:pos="720"/>
        </w:tabs>
        <w:ind w:start="720" w:hanging="360"/>
      </w:pPr>
    </w:lvl>
  </w:abstractNum>
  <w:abstractNum w:abstractNumId="12">
    <w:lvl w:ilvl="0">
      <w:start w:val="1"/>
      <w:numFmt w:val="bullet"/>
      <w:lvlText w:val=""/>
      <w:lvlJc w:val="start"/>
      <w:pPr>
        <w:tabs>
          <w:tab w:val="num" w:pos="360"/>
        </w:tabs>
        <w:ind w:start="1080" w:hanging="360"/>
      </w:pPr>
      <w:rPr>
        <w:rFonts w:ascii="Symbol" w:hAnsi="Symbol" w:cs="Symbol" w:hint="default"/>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decimal"/>
      <w:lvlText w:val="%1."/>
      <w:lvlJc w:val="start"/>
      <w:pPr>
        <w:tabs>
          <w:tab w:val="num" w:pos="780"/>
        </w:tabs>
        <w:ind w:start="780" w:hanging="420"/>
      </w:pPr>
    </w:lvl>
  </w:abstractNum>
  <w:abstractNum w:abstractNumId="15">
    <w:lvl w:ilvl="0">
      <w:start w:val="1"/>
      <w:numFmt w:val="decimal"/>
      <w:lvlText w:val="%1."/>
      <w:lvlJc w:val="start"/>
      <w:pPr>
        <w:tabs>
          <w:tab w:val="num" w:pos="720"/>
        </w:tabs>
        <w:ind w:start="720" w:hanging="720"/>
      </w:pPr>
    </w:lvl>
  </w:abstractNum>
  <w:abstractNum w:abstractNumId="16">
    <w:lvl w:ilvl="0">
      <w:start w:val="1"/>
      <w:numFmt w:val="decimal"/>
      <w:lvlText w:val="%1."/>
      <w:lvlJc w:val="start"/>
      <w:pPr>
        <w:tabs>
          <w:tab w:val="num" w:pos="1080"/>
        </w:tabs>
        <w:ind w:start="1080" w:hanging="360"/>
      </w:pPr>
      <w:rPr/>
    </w:lvl>
  </w:abstractNum>
  <w:abstractNum w:abstractNumId="17">
    <w:lvl w:ilvl="0">
      <w:start w:val="1"/>
      <w:numFmt w:val="decimal"/>
      <w:lvlText w:val="%1."/>
      <w:lvlJc w:val="start"/>
      <w:pPr>
        <w:tabs>
          <w:tab w:val="num" w:pos="780"/>
        </w:tabs>
        <w:ind w:start="780" w:hanging="420"/>
      </w:pPr>
    </w:lvl>
  </w:abstractNum>
  <w:abstractNum w:abstractNumId="18">
    <w:lvl w:ilvl="0">
      <w:start w:val="1"/>
      <w:numFmt w:val="decimal"/>
      <w:lvlText w:val="%1."/>
      <w:lvlJc w:val="start"/>
      <w:pPr>
        <w:tabs>
          <w:tab w:val="num" w:pos="720"/>
        </w:tabs>
        <w:ind w:start="720" w:hanging="360"/>
      </w:pPr>
    </w:lvl>
  </w:abstractNum>
  <w:abstractNum w:abstractNumId="19">
    <w:lvl w:ilvl="0">
      <w:start w:val="1"/>
      <w:numFmt w:val="decimal"/>
      <w:lvlText w:val="%1."/>
      <w:lvlJc w:val="start"/>
      <w:pPr>
        <w:tabs>
          <w:tab w:val="num" w:pos="720"/>
        </w:tabs>
        <w:ind w:start="720" w:hanging="360"/>
      </w:pPr>
    </w:lvl>
  </w:abstractNum>
  <w:abstractNum w:abstractNumId="20">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1">
    <w:lvl w:ilvl="0">
      <w:start w:val="1"/>
      <w:numFmt w:val="bullet"/>
      <w:lvlText w:val="-"/>
      <w:lvlJc w:val="start"/>
      <w:pPr>
        <w:tabs>
          <w:tab w:val="num" w:pos="1440"/>
        </w:tabs>
        <w:ind w:start="1440" w:hanging="360"/>
      </w:pPr>
      <w:rPr>
        <w:rFonts w:ascii="Times New Roman" w:hAnsi="Times New Roman" w:cs="Times New Roman" w:hint="default"/>
      </w:rPr>
    </w:lvl>
  </w:abstractNum>
  <w:abstractNum w:abstractNumId="22">
    <w:lvl w:ilvl="0">
      <w:start w:val="1"/>
      <w:numFmt w:val="decimal"/>
      <w:lvlText w:val="%1."/>
      <w:lvlJc w:val="start"/>
      <w:pPr>
        <w:tabs>
          <w:tab w:val="num" w:pos="360"/>
        </w:tabs>
        <w:ind w:start="360" w:hanging="360"/>
      </w:pPr>
      <w:rPr/>
    </w:lvl>
  </w:abstractNum>
  <w:abstractNum w:abstractNumId="23">
    <w:lvl w:ilvl="0">
      <w:start w:val="1"/>
      <w:numFmt w:val="decimal"/>
      <w:lvlText w:val="%1."/>
      <w:lvlJc w:val="start"/>
      <w:pPr>
        <w:tabs>
          <w:tab w:val="num" w:pos="720"/>
        </w:tabs>
        <w:ind w:start="780" w:hanging="360"/>
      </w:pPr>
    </w:lvl>
  </w:abstractNum>
  <w:abstractNum w:abstractNumId="24">
    <w:lvl w:ilvl="0">
      <w:start w:val="1"/>
      <w:numFmt w:val="bullet"/>
      <w:lvlText w:val=""/>
      <w:lvlJc w:val="start"/>
      <w:pPr>
        <w:tabs>
          <w:tab w:val="num" w:pos="360"/>
        </w:tabs>
        <w:ind w:start="1080" w:hanging="360"/>
      </w:pPr>
      <w:rPr>
        <w:rFonts w:ascii="Symbol" w:hAnsi="Symbol" w:cs="Symbol" w:hint="default"/>
      </w:rPr>
    </w:lvl>
  </w:abstractNum>
  <w:abstractNum w:abstractNumId="25">
    <w:lvl w:ilvl="0">
      <w:numFmt w:val="bullet"/>
      <w:lvlText w:val=""/>
      <w:lvlJc w:val="start"/>
      <w:pPr>
        <w:tabs>
          <w:tab w:val="num" w:pos="360"/>
        </w:tabs>
        <w:ind w:start="1080" w:hanging="360"/>
      </w:pPr>
      <w:rPr>
        <w:rFonts w:ascii="Symbol" w:hAnsi="Symbol" w:cs="Symbol" w:hint="default"/>
      </w:rPr>
    </w:lvl>
  </w:abstractNum>
  <w:abstractNum w:abstractNumId="26">
    <w:lvl w:ilvl="0">
      <w:start w:val="1"/>
      <w:numFmt w:val="decimal"/>
      <w:lvlText w:val="%1."/>
      <w:lvlJc w:val="start"/>
      <w:pPr>
        <w:tabs>
          <w:tab w:val="num" w:pos="720"/>
        </w:tabs>
        <w:ind w:start="720" w:hanging="360"/>
      </w:pPr>
    </w:lvl>
    <w:lvl w:ilvl="1">
      <w:start w:val="1"/>
      <w:numFmt w:val="lowerRoman"/>
      <w:lvlText w:val="(%2)"/>
      <w:lvlJc w:val="start"/>
      <w:pPr>
        <w:tabs>
          <w:tab w:val="num" w:pos="1800"/>
        </w:tabs>
        <w:ind w:start="1800" w:hanging="720"/>
      </w:pPr>
    </w:lvl>
    <w:lvl w:ilvl="2">
      <w:start w:val="1"/>
      <w:numFmt w:val="decimal"/>
      <w:lvlText w:val="%3."/>
      <w:lvlJc w:val="start"/>
      <w:pPr>
        <w:tabs>
          <w:tab w:val="num" w:pos="2160"/>
        </w:tabs>
        <w:ind w:start="2160" w:hanging="36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abstractNum w:abstractNumId="27">
    <w:lvl w:ilvl="0">
      <w:start w:val="1"/>
      <w:numFmt w:val="decimal"/>
      <w:lvlText w:val="%1."/>
      <w:lvlJc w:val="start"/>
      <w:pPr>
        <w:tabs>
          <w:tab w:val="num" w:pos="720"/>
        </w:tabs>
        <w:ind w:start="780" w:hanging="360"/>
      </w:pPr>
    </w:lvl>
    <w:lvl w:ilvl="1">
      <w:start w:val="1"/>
      <w:numFmt w:val="decimal"/>
      <w:lvlText w:val="%2."/>
      <w:lvlJc w:val="start"/>
      <w:pPr>
        <w:tabs>
          <w:tab w:val="num" w:pos="720"/>
        </w:tabs>
        <w:ind w:start="1500" w:hanging="360"/>
      </w:pPr>
    </w:lvl>
    <w:lvl w:ilvl="2">
      <w:start w:val="1"/>
      <w:numFmt w:val="lowerRoman"/>
      <w:lvlText w:val="%3."/>
      <w:lvlJc w:val="end"/>
      <w:pPr>
        <w:tabs>
          <w:tab w:val="num" w:pos="2220"/>
        </w:tabs>
        <w:ind w:start="2220" w:hanging="18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19"/>
    <w:lvlOverride w:ilvl="0">
      <w:startOverride w:val="1"/>
    </w:lvlOverride>
  </w:num>
  <w:num w:numId="29">
    <w:abstractNumId w:val="11"/>
    <w:lvlOverride w:ilvl="0">
      <w:startOverride w:val="1"/>
    </w:lvlOverride>
  </w:num>
  <w:num w:numId="30">
    <w:abstractNumId w:val="17"/>
    <w:lvlOverride w:ilvl="0">
      <w:startOverride w:val="1"/>
    </w:lvlOverride>
  </w:num>
  <w:num w:numId="31">
    <w:abstractNumId w:val="14"/>
    <w:lvlOverride w:ilvl="0">
      <w:startOverride w:val="1"/>
    </w:lvlOverride>
  </w:num>
  <w:num w:numId="32">
    <w:abstractNumId w:val="7"/>
    <w:lvlOverride w:ilvl="0">
      <w:startOverride w:val="1"/>
    </w:lvlOverride>
  </w:num>
  <w:num w:numId="33">
    <w:abstractNumId w:val="23"/>
    <w:lvlOverride w:ilvl="0">
      <w:startOverride w:val="1"/>
    </w:lvlOverride>
  </w:num>
  <w:num w:numId="34">
    <w:abstractNumId w:val="18"/>
    <w:lvlOverride w:ilvl="0">
      <w:startOverride w:val="1"/>
    </w:lvlOverride>
  </w:num>
  <w:num w:numId="35">
    <w:abstractNumId w:val="5"/>
    <w:lvlOverride w:ilvl="0">
      <w:startOverride w:val="1"/>
    </w:lvlOverride>
  </w:num>
  <w:num w:numId="36">
    <w:abstractNumId w:val="3"/>
    <w:lvlOverride w:ilvl="0">
      <w:startOverride w:val="1"/>
    </w:lvlOverride>
  </w:num>
  <w:num w:numId="37">
    <w:abstractNumId w:val="15"/>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 w:hAnsi="Times New Roman" w:cs="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 w:hAnsi="Times New Roman" w:cs="Times New Roman"/>
      <w:sz w:val="22"/>
      <w:u w:val="single"/>
    </w:rPr>
  </w:style>
  <w:style w:type="paragraph" w:styleId="Heading3">
    <w:name w:val="heading 3"/>
    <w:basedOn w:val="Normal"/>
    <w:next w:val="Normal"/>
    <w:qFormat/>
    <w:pPr>
      <w:keepNext w:val="true"/>
      <w:widowControl/>
      <w:numPr>
        <w:ilvl w:val="2"/>
        <w:numId w:val="1"/>
      </w:numPr>
      <w:tabs>
        <w:tab w:val="clear" w:pos="720"/>
        <w:tab w:val="left" w:pos="1344" w:leader="none"/>
        <w:tab w:val="left" w:pos="5106" w:leader="none"/>
        <w:tab w:val="left" w:pos="7254" w:leader="none"/>
      </w:tabs>
      <w:jc w:val="center"/>
      <w:outlineLvl w:val="2"/>
    </w:pPr>
    <w:rPr>
      <w:rFonts w:ascii="Times New Roman" w:hAnsi="Times New Roman" w:cs="Times New Roman"/>
      <w:b/>
      <w:bCs/>
      <w:sz w:val="22"/>
    </w:rPr>
  </w:style>
  <w:style w:type="paragraph" w:styleId="Heading4">
    <w:name w:val="heading 4"/>
    <w:basedOn w:val="Normal"/>
    <w:next w:val="Normal"/>
    <w:qFormat/>
    <w:pPr>
      <w:keepNext w:val="true"/>
      <w:numPr>
        <w:ilvl w:val="3"/>
        <w:numId w:val="1"/>
      </w:numPr>
      <w:jc w:val="both"/>
      <w:outlineLvl w:val="3"/>
    </w:pPr>
    <w:rPr>
      <w:i/>
      <w:u w:val="single"/>
    </w:rPr>
  </w:style>
  <w:style w:type="paragraph" w:styleId="Heading5">
    <w:name w:val="heading 5"/>
    <w:basedOn w:val="Normal"/>
    <w:next w:val="Normal"/>
    <w:qFormat/>
    <w:pPr>
      <w:keepNext w:val="true"/>
      <w:widowControl/>
      <w:numPr>
        <w:ilvl w:val="4"/>
        <w:numId w:val="1"/>
      </w:numPr>
      <w:tabs>
        <w:tab w:val="left" w:pos="720" w:leader="none"/>
        <w:tab w:val="left" w:pos="5106" w:leader="none"/>
        <w:tab w:val="left" w:pos="7254" w:leader="none"/>
      </w:tabs>
      <w:spacing w:before="60" w:after="0"/>
      <w:outlineLvl w:val="4"/>
    </w:pPr>
    <w:rPr>
      <w:rFonts w:ascii="Times New Roman" w:hAnsi="Times New Roman" w:cs="Times New Roman"/>
      <w:b/>
      <w:bCs/>
      <w:sz w:val="22"/>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paragraph" w:styleId="Heading7">
    <w:name w:val="heading 7"/>
    <w:basedOn w:val="Normal"/>
    <w:next w:val="Normal"/>
    <w:qFormat/>
    <w:pPr>
      <w:keepNext w:val="true"/>
      <w:numPr>
        <w:ilvl w:val="6"/>
        <w:numId w:val="1"/>
      </w:numPr>
      <w:jc w:val="both"/>
      <w:outlineLvl w:val="6"/>
    </w:pPr>
    <w:rPr>
      <w:b/>
      <w:i/>
      <w:u w:val="single"/>
    </w:rPr>
  </w:style>
  <w:style w:type="paragraph" w:styleId="Heading8">
    <w:name w:val="heading 8"/>
    <w:basedOn w:val="Normal"/>
    <w:next w:val="Normal"/>
    <w:qFormat/>
    <w:pPr>
      <w:keepNext w:val="true"/>
      <w:widowControl/>
      <w:numPr>
        <w:ilvl w:val="7"/>
        <w:numId w:val="1"/>
      </w:numPr>
      <w:outlineLvl w:val="7"/>
    </w:pPr>
    <w:rPr>
      <w:b/>
      <w:bCs/>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8z0">
    <w:name w:val="WW8Num18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30z0">
    <w:name w:val="WW8Num30z0"/>
    <w:qFormat/>
    <w:rPr>
      <w:rFonts w:ascii="Symbol" w:hAnsi="Symbol" w:cs="Symbol"/>
    </w:rPr>
  </w:style>
  <w:style w:type="character" w:styleId="WW8Num33z0">
    <w:name w:val="WW8Num33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41z0">
    <w:name w:val="WW8Num41z0"/>
    <w:qFormat/>
    <w:rPr/>
  </w:style>
  <w:style w:type="character" w:styleId="WW8Num42z0">
    <w:name w:val="WW8Num42z0"/>
    <w:qFormat/>
    <w:rPr/>
  </w:style>
  <w:style w:type="character" w:styleId="WW8Num44z0">
    <w:name w:val="WW8Num44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rFonts w:ascii="Symbol" w:hAnsi="Symbol" w:cs="Symbol"/>
    </w:rPr>
  </w:style>
  <w:style w:type="character" w:styleId="WW8Num52z0">
    <w:name w:val="WW8Num52z0"/>
    <w:qFormat/>
    <w:rPr/>
  </w:style>
  <w:style w:type="character" w:styleId="WW8Num53z0">
    <w:name w:val="WW8Num53z0"/>
    <w:qFormat/>
    <w:rPr/>
  </w:style>
  <w:style w:type="character" w:styleId="WW8Num59z0">
    <w:name w:val="WW8Num59z0"/>
    <w:qFormat/>
    <w:rPr/>
  </w:style>
  <w:style w:type="character" w:styleId="WW8Num65z0">
    <w:name w:val="WW8Num65z0"/>
    <w:qFormat/>
    <w:rPr>
      <w:rFonts w:ascii="Tms Rmn;Times New Roman" w:hAnsi="Tms Rmn;Times New Roman" w:cs="Tms Rmn;Times New Roman"/>
    </w:rPr>
  </w:style>
  <w:style w:type="character" w:styleId="WW8Num68z0">
    <w:name w:val="WW8Num68z0"/>
    <w:qFormat/>
    <w:rPr/>
  </w:style>
  <w:style w:type="character" w:styleId="WW8Num69z0">
    <w:name w:val="WW8Num69z0"/>
    <w:qFormat/>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5z0">
    <w:name w:val="WW8Num75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4z0">
    <w:name w:val="WW8Num84z0"/>
    <w:qFormat/>
    <w:rPr/>
  </w:style>
  <w:style w:type="character" w:styleId="WW8Num89z0">
    <w:name w:val="WW8Num89z0"/>
    <w:qFormat/>
    <w:rPr/>
  </w:style>
  <w:style w:type="character" w:styleId="WW8Num89z1">
    <w:name w:val="WW8Num89z1"/>
    <w:qFormat/>
    <w:rPr>
      <w:rFonts w:ascii="Times New Roman" w:hAnsi="Times New Roman" w:eastAsia="Times New Roman" w:cs="Times New Roman"/>
    </w:rPr>
  </w:style>
  <w:style w:type="character" w:styleId="WW8Num90z1">
    <w:name w:val="WW8Num90z1"/>
    <w:qFormat/>
    <w:rPr>
      <w:rFonts w:ascii="Symbol" w:hAnsi="Symbol" w:cs="Symbol"/>
    </w:rPr>
  </w:style>
  <w:style w:type="character" w:styleId="WW8Num92z0">
    <w:name w:val="WW8Num92z0"/>
    <w:qFormat/>
    <w:rPr>
      <w:rFonts w:ascii="Times New Roman" w:hAnsi="Times New Roman" w:eastAsia="Times New Roman" w:cs="Times New Roman"/>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 w:hAnsi="Times New Roman" w:cs="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 w:hAnsi="Times New Roman" w:cs="Times New Roman"/>
      <w:sz w:val="22"/>
    </w:rPr>
  </w:style>
  <w:style w:type="paragraph" w:styleId="BodyText21">
    <w:name w:val="Body Text 21"/>
    <w:basedOn w:val="Normal"/>
    <w:qFormat/>
    <w:pPr>
      <w:ind w:hanging="720" w:start="720" w:end="0"/>
    </w:pPr>
    <w:rPr>
      <w:rFonts w:ascii="Times New Roman" w:hAnsi="Times New Roman" w:cs="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2000-12-18T18:44:00Z</dcterms:created>
  <dc:creator>kyoung</dc:creator>
  <dc:description/>
  <dc:language>en-CA</dc:language>
  <cp:lastModifiedBy>jelbert</cp:lastModifiedBy>
  <cp:lastPrinted>2000-12-28T15:35:00Z</cp:lastPrinted>
  <dcterms:modified xsi:type="dcterms:W3CDTF">2000-12-28T19:08:00Z</dcterms:modified>
  <cp:revision>9</cp:revision>
  <dc:subject/>
  <dc:title>MEMO FORM</dc:title>
</cp:coreProperties>
</file>