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December 7, 2000</w:t>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John Lavorato </w:t>
            </w:r>
          </w:p>
          <w:p>
            <w:pPr>
              <w:pStyle w:val="Normal"/>
              <w:rPr>
                <w:rFonts w:ascii="Arial" w:hAnsi="Arial" w:cs="Arial"/>
              </w:rPr>
            </w:pPr>
            <w:r>
              <w:rPr>
                <w:rFonts w:cs="Arial" w:ascii="Arial" w:hAnsi="Arial"/>
              </w:rPr>
              <w:t>Tim Belden</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Enron Canada Power’s qualification for participation in the Alberta Power Pool has been completed.  Trading and origination transactions are being pursued and executed with respect to the PPA for market deregulation commencing January 1, 2001.  Terms of Distribution Access are currently being determined/negotiated.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Secondary Alberta Power Purchase Auction (Plan B)</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John Lavorato </w:t>
            </w:r>
          </w:p>
          <w:p>
            <w:pPr>
              <w:pStyle w:val="Normal"/>
              <w:rPr>
                <w:rFonts w:ascii="Arial" w:hAnsi="Arial" w:cs="Arial"/>
              </w:rPr>
            </w:pPr>
            <w:r>
              <w:rPr>
                <w:rFonts w:cs="Arial" w:ascii="Arial" w:hAnsi="Arial"/>
              </w:rPr>
              <w:t>Tim Belden</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Auction held Dec. 4 and 5/00 </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b/>
              </w:rPr>
            </w:pPr>
            <w:r>
              <w:rPr>
                <w:rFonts w:cs="Arial" w:ascii="Arial" w:hAnsi="Arial"/>
              </w:rPr>
              <w:t xml:space="preserve">Enron Canada Power Corp. acquired </w:t>
            </w:r>
            <w:r>
              <w:rPr>
                <w:rFonts w:cs="Helv;Arial" w:ascii="Helv;Arial" w:hAnsi="Helv;Arial"/>
                <w:color w:val="000000"/>
              </w:rPr>
              <w:t xml:space="preserve">Cal 01 50MWs@116.5; Cal 02 25MWs@65.00; Cal 02 46MWs@64.00; Cal 03 </w:t>
              <w:tab/>
              <w:t>5 MWs@59.90; Cal 01 7X24 High Price $135.65 Low Price $115.00 Avg Price $116.00; Cal 01 Peak High Price $175.00 Low Price $159.00 Avg Price $164.18; Cal 02 7X24 High Price $80.00 Low Price $63.65 Avg Price $67.00; and Cal 03 7X24 High Price $61.15 Low Price $59.90 Avg Price $60.14.</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Year-end 2000/First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British Energy entering into an agreement to acquire the Bruce Nuclear Generation Facility from the Ontario Government, and on Enron hedging 90% of contracted power.  Award of Bruce Facility to British Energy has been confirmed as satisfied. Market Opening extension has been negotiated with British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Rob Milnthorp</w:t>
            </w:r>
          </w:p>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Commenced negotiations with Ivaco Inc. (45 MW), Bowater Inc. (50+ MW), Cadillac Fairview (40+ MW) and Nitrochem (6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1st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6 large Ontario Municipal Electrical Utilities.  Enron Canada to provide services and exclusive wholesale electricity supply.  Enron Canada to take a 20% equity share in the G-6 and be granted an option to increase holdings to 50%.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services and alliance agreement executed.  Commencing curing of underlying contract deficiencies.  Currently renegotiating services agreement, potential buy-out of non-compete restrictions and working capital loan.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by Power Systems Mfg. regarding the creation of a joint entity for the purpose of manufacturing, packaging and selling mobile combustion turbine generating units. Management agreement and LLC agreement (and related agreements) are in process.  ENA has acquired one FT4 turbine and jet engine and one complete FT4 mobile package.  ENA has executed a supply agreement regarding 2 generators, with an option to have up to an additional 8 generators supplied.  Request for bids on various components of the package have been sent and the bid review process is underway.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Definitive Agreement expected to be executed by 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Due diligence and negotiation of Definitive Agreement has commenced.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Creation, qualification and preparation relating to a retail energy affiliate for Canadian jurisdictions.  Project on hold pending outcome of various regulatory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Tax Mitigation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Morris Clark</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various tax deferral or tax write-off structures.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w:t>
            </w:r>
          </w:p>
          <w:p>
            <w:pPr>
              <w:pStyle w:val="Header"/>
              <w:tabs>
                <w:tab w:val="clear" w:pos="4320"/>
                <w:tab w:val="clear" w:pos="8640"/>
              </w:tabs>
              <w:jc w:val="both"/>
              <w:rPr>
                <w:rFonts w:ascii="Arial" w:hAnsi="Arial" w:cs="Arial"/>
              </w:rPr>
            </w:pPr>
            <w:r>
              <w:rPr>
                <w:rFonts w:cs="Arial" w:ascii="Arial" w:hAnsi="Arial"/>
              </w:rPr>
              <w:t>Negotiating term sheet for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Sunoco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Energy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Organization of numerous temporary assignments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JCG Resources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confirmation of transactions and agreements between Contour Energy Ltd., Troodon Energy Ltd. and JCG Resources Ltd.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Bowater, Cadillac Fairview, Magna, Nitrochem, Sunoco, Alcan and Ivaco.</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Bowater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draft wholesale Electricity Management Services Agreement.  Draft power supply agreement has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dividend expected for year-end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Master Power</w:t>
            </w:r>
          </w:p>
          <w:p>
            <w:pPr>
              <w:pStyle w:val="Normal"/>
              <w:rPr>
                <w:rFonts w:ascii="Arial" w:hAnsi="Arial" w:cs="Arial"/>
              </w:rPr>
            </w:pPr>
            <w:r>
              <w:rPr>
                <w:rFonts w:cs="Arial" w:ascii="Arial" w:hAnsi="Arial"/>
              </w:rPr>
              <w:t>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 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Canadian standard form EEI master physical power trading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Master Amendment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On-going</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and negotiation of amendments to 37 Master Firm Gas Purchase/Sale Agreements (including specific transportation assignments and collateral and netting agreements) to reflect revised credit terms and recent changes in Canadian insolvency and commercial laws.  We are preparing amended and restated Master Agreements for the 9 remaining counterparties for which the commercial people have yet to deliver.</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TriQuest Energy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DiStefano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Nov. 30,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Management Services Agreement for TriQuest's Alberta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Bilateral 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Garrett Tripp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March 1,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master agreement with Ontario market participants.</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Secondary (Plan B) Power Auction, Market Rule Changes and No Harm Commitment (Peter Keohane).</w:t>
      </w:r>
    </w:p>
    <w:p>
      <w:pPr>
        <w:pStyle w:val="Normal"/>
        <w:numPr>
          <w:ilvl w:val="0"/>
          <w:numId w:val="1"/>
        </w:numPr>
        <w:jc w:val="both"/>
        <w:rPr>
          <w:rFonts w:ascii="Arial" w:hAnsi="Arial" w:cs="Arial"/>
        </w:rPr>
      </w:pPr>
      <w:r>
        <w:rPr>
          <w:rFonts w:cs="Arial" w:ascii="Arial" w:hAnsi="Arial"/>
        </w:rPr>
        <w:t>Competition Law Seminar – Completed for Calgary, December 4, 2000; scheduled for Toronto for January 2001 (Peter Keohane).</w:t>
      </w:r>
    </w:p>
    <w:p>
      <w:pPr>
        <w:pStyle w:val="Normal"/>
        <w:numPr>
          <w:ilvl w:val="0"/>
          <w:numId w:val="1"/>
        </w:numPr>
        <w:jc w:val="both"/>
        <w:rPr>
          <w:rFonts w:ascii="Arial" w:hAnsi="Arial" w:cs="Arial"/>
        </w:rPr>
      </w:pPr>
      <w:r>
        <w:rPr>
          <w:rFonts w:cs="Arial" w:ascii="Arial" w:hAnsi="Arial"/>
        </w:rPr>
        <w:t>NGX/Canadian Enerdata litigation (Peter Keohane).</w:t>
      </w:r>
    </w:p>
    <w:p>
      <w:pPr>
        <w:pStyle w:val="Normal"/>
        <w:numPr>
          <w:ilvl w:val="0"/>
          <w:numId w:val="1"/>
        </w:numPr>
        <w:jc w:val="both"/>
        <w:rPr>
          <w:rFonts w:ascii="Arial" w:hAnsi="Arial" w:cs="Arial"/>
        </w:rPr>
      </w:pPr>
      <w:r>
        <w:rPr>
          <w:rFonts w:cs="Arial" w:ascii="Arial" w:hAnsi="Arial"/>
        </w:rPr>
        <w:t>Project Stanley (Peter Keohane).</w:t>
      </w:r>
    </w:p>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/mnt/main-storage/datasets/enron-docs/doc/Monthly_Report_Canada_Dec.doc</w:t>
    </w:r>
    <w:r>
      <w:rPr>
        <w:sz w:val="16"/>
        <w:rFonts w:cs="Arial Narrow" w:ascii="Arial Narrow" w:hAnsi="Arial Narrow"/>
      </w:rPr>
      <w:fldChar w:fldCharType="end"/>
    </w: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2000-12-18T18:39:00Z</dcterms:created>
  <dc:creator>Linda Sietzema</dc:creator>
  <dc:description/>
  <dc:language>en-CA</dc:language>
  <cp:lastModifiedBy>jelbert</cp:lastModifiedBy>
  <cp:lastPrinted>2000-12-13T11:13:00Z</cp:lastPrinted>
  <dcterms:modified xsi:type="dcterms:W3CDTF">2000-12-18T18:39:00Z</dcterms:modified>
  <cp:revision>2</cp:revision>
  <dc:subject/>
  <dc:title>Legal Transaction Status Report – Enron NA</dc:title>
</cp:coreProperties>
</file>