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spacing w:lineRule="exact" w:line="240"/>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spacing w:lineRule="exact" w:line="240"/>
        <w:ind w:hanging="0" w:start="0"/>
        <w:rPr>
          <w:sz w:val="24"/>
        </w:rPr>
      </w:pPr>
      <w:r>
        <w:rPr>
          <w:sz w:val="24"/>
        </w:rPr>
        <w:t>Monthly Report</w:t>
      </w:r>
    </w:p>
    <w:p>
      <w:pPr>
        <w:pStyle w:val="Heading3"/>
        <w:spacing w:lineRule="exact" w:line="240"/>
        <w:ind w:hanging="0" w:start="0"/>
        <w:rPr>
          <w:sz w:val="24"/>
        </w:rPr>
      </w:pPr>
      <w:r>
        <w:rPr>
          <w:sz w:val="24"/>
        </w:rPr>
        <w:t>April 2001</w:t>
      </w:r>
    </w:p>
    <w:p>
      <w:pPr>
        <w:pStyle w:val="Normal"/>
        <w:widowControl/>
        <w:tabs>
          <w:tab w:val="clear" w:pos="720"/>
          <w:tab w:val="left" w:pos="1344" w:leader="none"/>
          <w:tab w:val="left" w:pos="5106" w:leader="none"/>
          <w:tab w:val="left" w:pos="7254" w:leader="none"/>
        </w:tabs>
        <w:spacing w:lineRule="exact" w:line="240"/>
        <w:jc w:val="center"/>
        <w:rPr>
          <w:rFonts w:ascii="Times New Roman" w:hAnsi="Times New Roman" w:cs="Times New Roman"/>
          <w:sz w:val="24"/>
        </w:rPr>
      </w:pPr>
      <w:r>
        <w:rPr>
          <w:rFonts w:cs="Times New Roman" w:ascii="Times New Roman" w:hAnsi="Times New Roman"/>
          <w:sz w:val="24"/>
        </w:rPr>
      </w:r>
    </w:p>
    <w:p>
      <w:pPr>
        <w:pStyle w:val="Heading3"/>
        <w:spacing w:lineRule="exact" w:line="240"/>
        <w:ind w:hanging="0" w:start="0"/>
        <w:rPr>
          <w:sz w:val="24"/>
        </w:rPr>
      </w:pPr>
      <w:r>
        <w:rPr>
          <w:sz w:val="24"/>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4"/>
        </w:rPr>
      </w:pPr>
      <w:r>
        <w:rPr>
          <w:rFonts w:cs="Times New Roman" w:ascii="Times New Roman" w:hAnsi="Times New Roman"/>
          <w:sz w:val="24"/>
        </w:rPr>
      </w:r>
    </w:p>
    <w:p>
      <w:pPr>
        <w:pStyle w:val="BodyText3"/>
        <w:rPr>
          <w:sz w:val="24"/>
        </w:rPr>
      </w:pPr>
      <w:r>
        <w:rPr>
          <w:sz w:val="24"/>
        </w:rPr>
        <w:t>This report summarizes current significant legal activities of EWS as of April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TRADING</w:t>
      </w:r>
    </w:p>
    <w:p>
      <w:pPr>
        <w:pStyle w:val="Heading5"/>
        <w:keepNext w:val="false"/>
        <w:ind w:hanging="0" w:start="0"/>
        <w:rPr/>
      </w:pPr>
      <w:r>
        <w:rPr>
          <w:sz w:val="24"/>
          <w:u w:val="none"/>
        </w:rPr>
        <w:tab/>
      </w:r>
      <w:r>
        <w:rPr>
          <w:sz w:val="24"/>
        </w:rPr>
        <w:t>Houston</w:t>
      </w:r>
    </w:p>
    <w:p>
      <w:pPr>
        <w:pStyle w:val="Normal"/>
        <w:numPr>
          <w:ilvl w:val="0"/>
          <w:numId w:val="7"/>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Power Contract Revision Project</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Kevin Presto/Elizabeth Sager</w:t>
      </w:r>
    </w:p>
    <w:p>
      <w:pPr>
        <w:pStyle w:val="Normal"/>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EPMI reviewing certain high exposure power contracts for revision and conversion to EEI</w:t>
      </w:r>
    </w:p>
    <w:p>
      <w:pPr>
        <w:pStyle w:val="Normal"/>
        <w:numPr>
          <w:ilvl w:val="0"/>
          <w:numId w:val="7"/>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Gas Contract Revision Project</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 xml:space="preserve">John Lavorato/Jeff Hodge/Stacy Dickson </w:t>
      </w:r>
    </w:p>
    <w:p>
      <w:pPr>
        <w:pStyle w:val="Normal"/>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ENA reviewing certain high volume trading contracts for possible revision</w:t>
      </w:r>
    </w:p>
    <w:p>
      <w:pPr>
        <w:pStyle w:val="Normal"/>
        <w:numPr>
          <w:ilvl w:val="0"/>
          <w:numId w:val="7"/>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Duke Energy LNG Sales, Inc.</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Brian Redmond/Jeff Hodge/Richard Sanders (Susman &amp; Godfrey)</w:t>
      </w:r>
    </w:p>
    <w:p>
      <w:pPr>
        <w:pStyle w:val="Normal"/>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Arbitration on price redetermination has been scheduled for mid-August</w:t>
      </w:r>
    </w:p>
    <w:p>
      <w:pPr>
        <w:pStyle w:val="Normal"/>
        <w:numPr>
          <w:ilvl w:val="0"/>
          <w:numId w:val="7"/>
        </w:numPr>
        <w:tabs>
          <w:tab w:val="clear" w:pos="720"/>
          <w:tab w:val="left" w:pos="1080" w:leader="none"/>
        </w:tabs>
        <w:spacing w:lineRule="exact" w:line="230" w:before="120" w:after="0"/>
        <w:ind w:hanging="0" w:start="720" w:end="0"/>
        <w:jc w:val="both"/>
        <w:rPr>
          <w:rFonts w:ascii="Times New Roman" w:hAnsi="Times New Roman" w:cs="Times New Roman"/>
          <w:sz w:val="24"/>
        </w:rPr>
      </w:pPr>
      <w:r>
        <w:rPr>
          <w:rFonts w:cs="Times New Roman" w:ascii="Times New Roman" w:hAnsi="Times New Roman"/>
          <w:sz w:val="24"/>
        </w:rPr>
        <w:t>Allegheny Tolling</w:t>
      </w:r>
    </w:p>
    <w:p>
      <w:pPr>
        <w:pStyle w:val="Normal"/>
        <w:numPr>
          <w:ilvl w:val="0"/>
          <w:numId w:val="26"/>
        </w:numPr>
        <w:tabs>
          <w:tab w:val="clear" w:pos="720"/>
          <w:tab w:val="left" w:pos="1260" w:leader="none"/>
        </w:tabs>
        <w:spacing w:lineRule="exact" w:line="230"/>
        <w:jc w:val="both"/>
        <w:rPr>
          <w:rFonts w:ascii="Times New Roman" w:hAnsi="Times New Roman" w:cs="Times New Roman"/>
          <w:sz w:val="24"/>
        </w:rPr>
      </w:pPr>
      <w:r>
        <w:rPr>
          <w:rFonts w:cs="Times New Roman" w:ascii="Times New Roman" w:hAnsi="Times New Roman"/>
          <w:sz w:val="24"/>
        </w:rPr>
        <w:t>Marcus Nettleton/Dale Rasmussen/Elizabeth Sager</w:t>
      </w:r>
    </w:p>
    <w:p>
      <w:pPr>
        <w:pStyle w:val="Normal"/>
        <w:numPr>
          <w:ilvl w:val="0"/>
          <w:numId w:val="26"/>
        </w:numPr>
        <w:tabs>
          <w:tab w:val="clear" w:pos="720"/>
          <w:tab w:val="left" w:pos="1260" w:leader="none"/>
          <w:tab w:val="left" w:pos="21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EPMI is negotiating a long-term tolling arrangement involving the El Paso facility</w:t>
      </w:r>
    </w:p>
    <w:p>
      <w:pPr>
        <w:pStyle w:val="Normal"/>
        <w:numPr>
          <w:ilvl w:val="0"/>
          <w:numId w:val="7"/>
        </w:numPr>
        <w:tabs>
          <w:tab w:val="clear" w:pos="720"/>
          <w:tab w:val="left" w:pos="1080" w:leader="none"/>
        </w:tabs>
        <w:spacing w:lineRule="exact" w:line="230" w:before="120" w:after="0"/>
        <w:ind w:hanging="0" w:start="720" w:end="0"/>
        <w:jc w:val="both"/>
        <w:rPr>
          <w:rFonts w:ascii="Times New Roman" w:hAnsi="Times New Roman" w:cs="Times New Roman"/>
          <w:sz w:val="24"/>
        </w:rPr>
      </w:pPr>
      <w:r>
        <w:rPr>
          <w:rFonts w:cs="Times New Roman" w:ascii="Times New Roman" w:hAnsi="Times New Roman"/>
          <w:sz w:val="24"/>
        </w:rPr>
        <w:t>Scheduling Services</w:t>
      </w:r>
    </w:p>
    <w:p>
      <w:pPr>
        <w:pStyle w:val="Normal"/>
        <w:numPr>
          <w:ilvl w:val="0"/>
          <w:numId w:val="26"/>
        </w:numPr>
        <w:tabs>
          <w:tab w:val="clear" w:pos="720"/>
          <w:tab w:val="left" w:pos="1260" w:leader="none"/>
        </w:tabs>
        <w:spacing w:lineRule="exact" w:line="230"/>
        <w:jc w:val="both"/>
        <w:rPr>
          <w:rFonts w:ascii="Times New Roman" w:hAnsi="Times New Roman" w:cs="Times New Roman"/>
          <w:sz w:val="24"/>
        </w:rPr>
      </w:pPr>
      <w:r>
        <w:rPr>
          <w:rFonts w:cs="Times New Roman" w:ascii="Times New Roman" w:hAnsi="Times New Roman"/>
          <w:sz w:val="24"/>
        </w:rPr>
        <w:t>David Portz</w:t>
      </w:r>
    </w:p>
    <w:p>
      <w:pPr>
        <w:pStyle w:val="Normal"/>
        <w:numPr>
          <w:ilvl w:val="0"/>
          <w:numId w:val="26"/>
        </w:numPr>
        <w:tabs>
          <w:tab w:val="clear" w:pos="720"/>
          <w:tab w:val="left" w:pos="1260" w:leader="none"/>
          <w:tab w:val="left" w:pos="21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EPMI is attempting to secure multiple agreements to provide scheduling services in Texas as market opens up</w:t>
      </w:r>
    </w:p>
    <w:p>
      <w:pPr>
        <w:pStyle w:val="Heading5"/>
        <w:keepNext w:val="false"/>
        <w:spacing w:lineRule="exact" w:line="230" w:before="120" w:after="0"/>
        <w:ind w:hanging="0" w:start="0"/>
        <w:rPr/>
      </w:pPr>
      <w:r>
        <w:rPr>
          <w:sz w:val="24"/>
          <w:u w:val="none"/>
        </w:rPr>
        <w:tab/>
      </w:r>
      <w:r>
        <w:rPr>
          <w:sz w:val="24"/>
        </w:rPr>
        <w:t>Financial</w:t>
      </w:r>
    </w:p>
    <w:p>
      <w:pPr>
        <w:pStyle w:val="Normal"/>
        <w:numPr>
          <w:ilvl w:val="0"/>
          <w:numId w:val="24"/>
        </w:numPr>
        <w:tabs>
          <w:tab w:val="clear" w:pos="720"/>
        </w:tabs>
        <w:spacing w:lineRule="exact" w:line="230" w:before="120" w:after="0"/>
        <w:ind w:hanging="360" w:start="1080" w:end="0"/>
        <w:jc w:val="both"/>
        <w:rPr>
          <w:rFonts w:ascii="Times New Roman" w:hAnsi="Times New Roman" w:cs="Times New Roman"/>
          <w:sz w:val="24"/>
        </w:rPr>
      </w:pPr>
      <w:r>
        <w:rPr>
          <w:rFonts w:cs="Times New Roman" w:ascii="Times New Roman" w:hAnsi="Times New Roman"/>
          <w:sz w:val="24"/>
        </w:rPr>
        <w:t xml:space="preserve">Trade Credit Exposure </w:t>
      </w:r>
    </w:p>
    <w:p>
      <w:pPr>
        <w:pStyle w:val="Normal"/>
        <w:tabs>
          <w:tab w:val="clear" w:pos="720"/>
          <w:tab w:val="left" w:pos="1260" w:leader="none"/>
        </w:tabs>
        <w:spacing w:lineRule="exact" w:line="230"/>
        <w:ind w:hanging="1080" w:start="2160" w:end="0"/>
        <w:rPr>
          <w:rFonts w:ascii="Times New Roman" w:hAnsi="Times New Roman" w:cs="Times New Roman"/>
          <w:sz w:val="24"/>
        </w:rPr>
      </w:pPr>
      <w:r>
        <w:rPr>
          <w:rFonts w:cs="Times New Roman" w:ascii="Times New Roman" w:hAnsi="Times New Roman"/>
          <w:sz w:val="24"/>
        </w:rPr>
        <w:t>-</w:t>
        <w:tab/>
        <w:t>Bill Bradford/Sara Shackleton/Mary Cook (Cadwalder, Wickersham &amp;Taft)</w:t>
      </w:r>
    </w:p>
    <w:p>
      <w:pPr>
        <w:pStyle w:val="EndnoteText"/>
        <w:numPr>
          <w:ilvl w:val="1"/>
          <w:numId w:val="24"/>
        </w:numPr>
        <w:tabs>
          <w:tab w:val="clear" w:pos="720"/>
          <w:tab w:val="left" w:pos="12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Research regarding various methods available to minimize credit exposure and margin calls including cross-product, cross-entity and triangular netting and set-off arrangements</w:t>
      </w:r>
    </w:p>
    <w:p>
      <w:pPr>
        <w:pStyle w:val="Normal"/>
        <w:numPr>
          <w:ilvl w:val="0"/>
          <w:numId w:val="24"/>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Commodity Exchange Act/CFTC</w:t>
      </w:r>
    </w:p>
    <w:p>
      <w:pPr>
        <w:pStyle w:val="Norma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John Lavorato/Mark Haedicke/Mark Taylor (Sullivan &amp; Cromwell)</w:t>
      </w:r>
    </w:p>
    <w:p>
      <w:pPr>
        <w:pStyle w:val="EndnoteText"/>
        <w:numPr>
          <w:ilvl w:val="1"/>
          <w:numId w:val="24"/>
        </w:numPr>
        <w:tabs>
          <w:tab w:val="clear" w:pos="720"/>
          <w:tab w:val="left" w:pos="126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Update:</w:t>
        <w:tab/>
        <w:t>Commodity Futures Modernization Act signed into law in December.  Evaluating provisions of new law which should reduce regulation of OTC derivatives trading</w:t>
      </w:r>
    </w:p>
    <w:p>
      <w:pPr>
        <w:pStyle w:val="Normal"/>
        <w:numPr>
          <w:ilvl w:val="0"/>
          <w:numId w:val="24"/>
        </w:numPr>
        <w:tabs>
          <w:tab w:val="clear" w:pos="720"/>
        </w:tabs>
        <w:spacing w:lineRule="exact" w:line="220" w:before="120" w:after="0"/>
        <w:ind w:hanging="360" w:start="1080" w:end="0"/>
        <w:rPr>
          <w:rFonts w:ascii="Times New Roman" w:hAnsi="Times New Roman" w:cs="Times New Roman"/>
          <w:sz w:val="24"/>
        </w:rPr>
      </w:pPr>
      <w:r>
        <w:rPr>
          <w:rFonts w:cs="Times New Roman" w:ascii="Times New Roman" w:hAnsi="Times New Roman"/>
          <w:sz w:val="24"/>
        </w:rPr>
        <w:t>Agricultural Commodities Trading</w:t>
      </w:r>
    </w:p>
    <w:p>
      <w:pPr>
        <w:pStyle w:val="Normal"/>
        <w:tabs>
          <w:tab w:val="clear" w:pos="720"/>
          <w:tab w:val="left" w:pos="1260" w:leader="none"/>
        </w:tabs>
        <w:spacing w:lineRule="exact" w:line="220"/>
        <w:ind w:hanging="540" w:start="1620" w:end="0"/>
        <w:rPr>
          <w:rFonts w:ascii="Times New Roman" w:hAnsi="Times New Roman" w:cs="Times New Roman"/>
          <w:sz w:val="24"/>
        </w:rPr>
      </w:pPr>
      <w:r>
        <w:rPr>
          <w:rFonts w:cs="Times New Roman" w:ascii="Times New Roman" w:hAnsi="Times New Roman"/>
          <w:sz w:val="24"/>
        </w:rPr>
        <w:t>-</w:t>
        <w:tab/>
        <w:t>Gary Hickerson/Sara Shackleton/Robert Bruce</w:t>
      </w:r>
    </w:p>
    <w:p>
      <w:pPr>
        <w:pStyle w:val="EndnoteText"/>
        <w:numPr>
          <w:ilvl w:val="1"/>
          <w:numId w:val="24"/>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Continuing research and client education regarding physical and financial trading of agricultural commodities</w:t>
      </w:r>
    </w:p>
    <w:p>
      <w:pPr>
        <w:pStyle w:val="Normal"/>
        <w:numPr>
          <w:ilvl w:val="0"/>
          <w:numId w:val="24"/>
        </w:numPr>
        <w:tabs>
          <w:tab w:val="clear" w:pos="720"/>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Enron Corp. ISDA Master Agreements</w:t>
      </w:r>
    </w:p>
    <w:p>
      <w:pPr>
        <w:pStyle w:val="Norma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Clint Freel/Sara Shackleton</w:t>
      </w:r>
    </w:p>
    <w:p>
      <w:pPr>
        <w:pStyle w:val="EndnoteText"/>
        <w:numPr>
          <w:ilvl w:val="1"/>
          <w:numId w:val="24"/>
        </w:numPr>
        <w:tabs>
          <w:tab w:val="clear" w:pos="720"/>
          <w:tab w:val="left" w:pos="126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Update:</w:t>
        <w:tab/>
        <w:t>Negotiation of ISDA Master Agreements with several counterparties to cover hedge transactions on Enron Corp. stock</w:t>
      </w:r>
    </w:p>
    <w:p>
      <w:pPr>
        <w:pStyle w:val="Heading5"/>
        <w:keepNext w:val="false"/>
        <w:spacing w:before="120" w:after="0"/>
        <w:ind w:hanging="0" w:start="0"/>
        <w:jc w:val="both"/>
        <w:rPr/>
      </w:pPr>
      <w:r>
        <w:rPr>
          <w:sz w:val="24"/>
          <w:u w:val="none"/>
        </w:rPr>
        <w:tab/>
      </w:r>
      <w:r>
        <w:rPr>
          <w:sz w:val="24"/>
        </w:rPr>
        <w:t>Portland</w:t>
      </w:r>
    </w:p>
    <w:p>
      <w:pPr>
        <w:pStyle w:val="Normal"/>
        <w:numPr>
          <w:ilvl w:val="0"/>
          <w:numId w:val="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BPA</w:t>
      </w:r>
    </w:p>
    <w:p>
      <w:pPr>
        <w:pStyle w:val="Normal"/>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Yoder//Richard Sanders</w:t>
      </w:r>
    </w:p>
    <w:p>
      <w:pPr>
        <w:pStyle w:val="EndnoteText"/>
        <w:numPr>
          <w:ilvl w:val="1"/>
          <w:numId w:val="24"/>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  ENA Legal also reviewing our overall trading position with BPA in order to prepare for possible non-performance by BPA</w:t>
      </w:r>
    </w:p>
    <w:p>
      <w:pPr>
        <w:pStyle w:val="Normal"/>
        <w:numPr>
          <w:ilvl w:val="0"/>
          <w:numId w:val="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California Activities</w:t>
      </w:r>
    </w:p>
    <w:p>
      <w:pPr>
        <w:pStyle w:val="Normal"/>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Yoder/Steve Hall/Elizabeth Sager/Richard Sanders</w:t>
      </w:r>
    </w:p>
    <w:p>
      <w:pPr>
        <w:pStyle w:val="EndnoteText"/>
        <w:numPr>
          <w:ilvl w:val="1"/>
          <w:numId w:val="24"/>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Working to review/assess trading activities in California and to minimize exposures with California counterparties; preparing for possible trading activities in summer 2001</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NET WORKS</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1.</w:t>
        <w:tab/>
        <w:t>Enron Offline – Potential software sale or joint venture</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Greg Piper/Travis McCullough (Vinson &amp; Elkins)</w:t>
      </w:r>
    </w:p>
    <w:p>
      <w:pPr>
        <w:pStyle w:val="Normal"/>
        <w:widowControl/>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sz w:val="24"/>
        </w:rPr>
        <w:tab/>
        <w:t>- Update:</w:t>
        <w:tab/>
        <w:t>Various NDA’s negotiated</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2.</w:t>
        <w:tab/>
        <w:t>EC Outlook – Adding to our equity holdings in EC Outlook as part of a sale of our EDI Hub technology</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Robert George</w:t>
      </w:r>
    </w:p>
    <w:p>
      <w:pPr>
        <w:pStyle w:val="Normal"/>
        <w:widowControl/>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sz w:val="24"/>
        </w:rPr>
        <w:tab/>
        <w:t>- Update:</w:t>
        <w:tab/>
        <w:t>Closed 2/15/01</w:t>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3.</w:t>
        <w:tab/>
        <w:t>Commodity Logic</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Tom Gros/Mark Greenberg/Mark Taylor</w:t>
      </w:r>
    </w:p>
    <w:p>
      <w:pPr>
        <w:pStyle w:val="EndnoteText"/>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Preparation of agreements for various phases of an internet platform providing back office services to users</w:t>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4.</w:t>
        <w:tab/>
        <w:t>EnronOnline – North America</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Andy Zipper/Mark Taylor/Mark Greenberg (Sullivan &amp; Cromwell)</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5.</w:t>
        <w:tab/>
        <w:t>Third Party Trading Platforms</w:t>
      </w:r>
    </w:p>
    <w:p>
      <w:pPr>
        <w:pStyle w:val="Normal"/>
        <w:numPr>
          <w:ilvl w:val="1"/>
          <w:numId w:val="24"/>
        </w:numPr>
        <w:tabs>
          <w:tab w:val="clear" w:pos="720"/>
          <w:tab w:val="left" w:pos="1260" w:leader="none"/>
        </w:tabs>
        <w:rPr>
          <w:rFonts w:ascii="Times New Roman" w:hAnsi="Times New Roman" w:cs="Times New Roman"/>
          <w:sz w:val="24"/>
        </w:rPr>
      </w:pPr>
      <w:r>
        <w:rPr>
          <w:rFonts w:cs="Times New Roman" w:ascii="Times New Roman" w:hAnsi="Times New Roman"/>
          <w:sz w:val="24"/>
        </w:rPr>
        <w:t>Travis McCullough/Mark Greenberg</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Legal and technical work associated with 1) Enron posting process on True Quote’s and Houston Streets electronic trading platforms and 2)Enron traders trading on third party platform for Enron’s account</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EAST ORIGINATION &amp; MEXICO</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New Jersey Natural Gas – Possible joint venture to develop fuel cell projects in NJNG service area</w:t>
      </w:r>
    </w:p>
    <w:p>
      <w:pPr>
        <w:pStyle w:val="BodyText"/>
        <w:widowControl/>
        <w:numPr>
          <w:ilvl w:val="1"/>
          <w:numId w:val="24"/>
        </w:numPr>
        <w:tabs>
          <w:tab w:val="clear" w:pos="720"/>
          <w:tab w:val="left" w:pos="1260" w:leader="none"/>
        </w:tabs>
        <w:rPr>
          <w:rFonts w:ascii="Times New Roman" w:hAnsi="Times New Roman" w:cs="Times New Roman"/>
          <w:sz w:val="24"/>
        </w:rPr>
      </w:pPr>
      <w:r>
        <w:rPr>
          <w:rFonts w:cs="Times New Roman" w:ascii="Times New Roman" w:hAnsi="Times New Roman"/>
          <w:sz w:val="24"/>
        </w:rPr>
        <w:t>Kay Mann</w:t>
      </w:r>
    </w:p>
    <w:p>
      <w:pPr>
        <w:pStyle w:val="BodyText"/>
        <w:widowControl/>
        <w:numPr>
          <w:ilvl w:val="1"/>
          <w:numId w:val="24"/>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Currently negotiating letter of intent</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Co Op City – Development of a small power generation facility for a housing complex in New York, with subsequent asset management responsibilities</w:t>
      </w:r>
    </w:p>
    <w:p>
      <w:pPr>
        <w:pStyle w:val="BodyText"/>
        <w:widowControl/>
        <w:numPr>
          <w:ilvl w:val="1"/>
          <w:numId w:val="24"/>
        </w:numPr>
        <w:tabs>
          <w:tab w:val="clear" w:pos="720"/>
          <w:tab w:val="left" w:pos="1260" w:leader="none"/>
        </w:tabs>
        <w:rPr>
          <w:rFonts w:ascii="Times New Roman" w:hAnsi="Times New Roman" w:cs="Times New Roman"/>
          <w:sz w:val="24"/>
        </w:rPr>
      </w:pPr>
      <w:r>
        <w:rPr>
          <w:rFonts w:cs="Times New Roman" w:ascii="Times New Roman" w:hAnsi="Times New Roman"/>
          <w:sz w:val="24"/>
        </w:rPr>
        <w:t>Kay Mann</w:t>
      </w:r>
    </w:p>
    <w:p>
      <w:pPr>
        <w:pStyle w:val="BodyText"/>
        <w:widowControl/>
        <w:numPr>
          <w:ilvl w:val="1"/>
          <w:numId w:val="24"/>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Currently negotiating term sheet</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PSEG – Sale of a development site in Illinois</w:t>
      </w:r>
    </w:p>
    <w:p>
      <w:pPr>
        <w:pStyle w:val="BodyText"/>
        <w:widowControl/>
        <w:numPr>
          <w:ilvl w:val="1"/>
          <w:numId w:val="24"/>
        </w:numPr>
        <w:tabs>
          <w:tab w:val="clear" w:pos="720"/>
          <w:tab w:val="left" w:pos="1260" w:leader="none"/>
        </w:tabs>
        <w:rPr>
          <w:rFonts w:ascii="Times New Roman" w:hAnsi="Times New Roman" w:cs="Times New Roman"/>
          <w:sz w:val="24"/>
        </w:rPr>
      </w:pPr>
      <w:r>
        <w:rPr>
          <w:rFonts w:cs="Times New Roman" w:ascii="Times New Roman" w:hAnsi="Times New Roman"/>
          <w:sz w:val="24"/>
        </w:rPr>
        <w:t>Carlos Solé</w:t>
      </w:r>
    </w:p>
    <w:p>
      <w:pPr>
        <w:pStyle w:val="BodyText"/>
        <w:widowControl/>
        <w:numPr>
          <w:ilvl w:val="1"/>
          <w:numId w:val="24"/>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Counterparty re-evaluating transaction; placed on hold</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Stuart Zisman</w:t>
      </w:r>
    </w:p>
    <w:p>
      <w:pPr>
        <w:pStyle w:val="BodyText"/>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Purchase and sale Agreements for the peaker sales have been executed; closing anticipated for either end of Q1 or sometime in Q2</w:t>
      </w:r>
    </w:p>
    <w:p>
      <w:pPr>
        <w:pStyle w:val="Normal"/>
        <w:widowControl/>
        <w:numPr>
          <w:ilvl w:val="0"/>
          <w:numId w:val="8"/>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Fuel Cell Joint Venture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LOI with Connecticut Resource Recovery Authority in place; definitive agreements in progress; funding request submitted to State of Connecticut by CRRA </w:t>
      </w:r>
    </w:p>
    <w:p>
      <w:pPr>
        <w:pStyle w:val="Normal"/>
        <w:widowControl/>
        <w:tabs>
          <w:tab w:val="clear" w:pos="720"/>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6.</w:t>
        <w:tab/>
        <w:t>Alamac – Disposition of two North Carolina 35W coal-fired power plants recently acquired (1/31/01) via equity purchase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Steve Van Hooser/Stuart Zisman</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Currently in discussions with AIG</w:t>
      </w:r>
    </w:p>
    <w:p>
      <w:pPr>
        <w:pStyle w:val="BodyTextIndent"/>
        <w:spacing w:before="120" w:after="0"/>
        <w:rPr>
          <w:sz w:val="24"/>
        </w:rPr>
      </w:pPr>
      <w:r>
        <w:rPr>
          <w:sz w:val="24"/>
        </w:rPr>
        <w:t>7.</w:t>
        <w:tab/>
        <w:t>LIPA Power Barge Transaction – Sale of 66MW of capacity and power to Long Island Power Authority using the barge units</w:t>
      </w:r>
    </w:p>
    <w:p>
      <w:pPr>
        <w:pStyle w:val="BodyText"/>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Steve Van Hooser</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Enron received threatening letter from LIPA Chairman in late February indicating disappointment with breakdown in PPA negotiations; discussions with LIPA ongoing for complete release in exchange for Enron’s withdrawing pending power development permit application on file with New York DEC</w:t>
      </w:r>
    </w:p>
    <w:p>
      <w:pPr>
        <w:pStyle w:val="Normal"/>
        <w:widowControl/>
        <w:tabs>
          <w:tab w:val="clear" w:pos="720"/>
          <w:tab w:val="left" w:pos="90" w:leader="none"/>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8.</w:t>
        <w:tab/>
        <w:t>Delta Power-Sale of four GE turbines currently in Turbopark</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 /Kay Mann</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Executed initial definitive agreement with potential buyer and finalizing closing documents</w:t>
      </w:r>
    </w:p>
    <w:p>
      <w:pPr>
        <w:pStyle w:val="Normal"/>
        <w:widowControl/>
        <w:tabs>
          <w:tab w:val="clear" w:pos="720"/>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9.</w:t>
        <w:tab/>
        <w:t>Onondaga-Sale of cash flow interest from cogeneration project</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Identifying potential buyers and executing confidentiality agreements</w:t>
      </w:r>
    </w:p>
    <w:p>
      <w:pPr>
        <w:pStyle w:val="Normal"/>
        <w:widowControl/>
        <w:tabs>
          <w:tab w:val="clear" w:pos="720"/>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10.</w:t>
        <w:tab/>
        <w:t xml:space="preserve">City of Clarksdale &amp; Yazoo City, Mississippi </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Asset management agreement circulated for negotiation </w:t>
      </w:r>
    </w:p>
    <w:p>
      <w:pPr>
        <w:pStyle w:val="Normal"/>
        <w:widowControl/>
        <w:tabs>
          <w:tab w:val="clear" w:pos="720"/>
          <w:tab w:val="left" w:pos="0" w:leader="none"/>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11.</w:t>
        <w:tab/>
        <w:t>New Jersey Resources-project development agreements for fuel cell projects</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LOI signed</w:t>
      </w:r>
    </w:p>
    <w:p>
      <w:pPr>
        <w:pStyle w:val="Normal"/>
        <w:widowControl/>
        <w:tabs>
          <w:tab w:val="clear" w:pos="720"/>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12.</w:t>
        <w:tab/>
        <w:t>TransAlta – Gas sales contract with Canadian entity for proposed generation facility in Chihuahua, Mexico</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Steve Van Hooser</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Executed documents and guarantees exchanged; awaiting award by Mexican Federal Electricity Commission, which is conditions precedent to parties performance under the gas supply agreement; notice of such award expected in Q2</w:t>
      </w:r>
    </w:p>
    <w:p>
      <w:pPr>
        <w:pStyle w:val="Normal"/>
        <w:widowControl/>
        <w:tabs>
          <w:tab w:val="clear" w:pos="720"/>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13.</w:t>
        <w:tab/>
        <w:t>Northwestern – Sale of GE turbines in Turbopark</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Definitive documents being negotiated</w:t>
      </w:r>
    </w:p>
    <w:p>
      <w:pPr>
        <w:pStyle w:val="BodyText"/>
        <w:widowControl/>
        <w:tabs>
          <w:tab w:val="clear" w:pos="720"/>
          <w:tab w:val="left" w:pos="1260" w:leader="none"/>
        </w:tabs>
        <w:spacing w:before="120" w:after="0"/>
        <w:ind w:start="360" w:end="0"/>
        <w:rPr>
          <w:rFonts w:ascii="Times New Roman" w:hAnsi="Times New Roman" w:cs="Times New Roman"/>
          <w:b/>
          <w:bCs/>
          <w:sz w:val="24"/>
          <w:u w:val="single"/>
        </w:rPr>
      </w:pPr>
      <w:r>
        <w:rPr>
          <w:rFonts w:cs="Times New Roman" w:ascii="Times New Roman" w:hAnsi="Times New Roman"/>
          <w:b/>
          <w:bCs/>
          <w:sz w:val="24"/>
          <w:u w:val="single"/>
        </w:rPr>
        <w:t>Mexico</w:t>
      </w:r>
    </w:p>
    <w:p>
      <w:pPr>
        <w:pStyle w:val="Normal"/>
        <w:widowControl/>
        <w:numPr>
          <w:ilvl w:val="0"/>
          <w:numId w:val="27"/>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Vitro Power Generation Transaction</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Financial close with IDB occurred on 12/29/00; conditions precedent to first disbursement are currently being reviewed to assure satisfaction thereof prior to first disbursement which is anticipated to occur on April 30, 2001</w:t>
      </w:r>
    </w:p>
    <w:p>
      <w:pPr>
        <w:pStyle w:val="Normal"/>
        <w:widowControl/>
        <w:numPr>
          <w:ilvl w:val="0"/>
          <w:numId w:val="27"/>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PPA was presented to FAPSA and FAPSA’s comments are anticipated soon; discussions with Fersinsa on terms of PPA are ongoing but PPA format has not yet been given to Fersinsa; discussions are ongoing with Aroucia Corn Products, Hilaturas Parras and Parras de la Laguna </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WEST ORIGINATION</w:t>
      </w:r>
    </w:p>
    <w:p>
      <w:pPr>
        <w:pStyle w:val="Normal"/>
        <w:widowControl/>
        <w:numPr>
          <w:ilvl w:val="0"/>
          <w:numId w:val="3"/>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expansion of LV Cogen II, tolling agreement and equity sell-down of LV Cogen I and LV Cogen II</w:t>
      </w:r>
    </w:p>
    <w:p>
      <w:pPr>
        <w:pStyle w:val="Normal"/>
        <w:widowControl/>
        <w:tabs>
          <w:tab w:val="clear" w:pos="720"/>
          <w:tab w:val="left" w:pos="1260" w:leader="none"/>
        </w:tabs>
        <w:ind w:hanging="360" w:start="1440" w:end="0"/>
        <w:jc w:val="both"/>
        <w:rPr>
          <w:rFonts w:ascii="Times New Roman" w:hAnsi="Times New Roman" w:cs="Times New Roman"/>
          <w:sz w:val="24"/>
        </w:rPr>
      </w:pPr>
      <w:r>
        <w:rPr>
          <w:rFonts w:cs="Times New Roman" w:ascii="Times New Roman" w:hAnsi="Times New Roman"/>
          <w:sz w:val="24"/>
        </w:rPr>
        <w:t>-</w:t>
        <w:tab/>
        <w:t>Dale Rasmussen</w:t>
      </w:r>
    </w:p>
    <w:p>
      <w:pPr>
        <w:pStyle w:val="Normal"/>
        <w:widowControl/>
        <w:numPr>
          <w:ilvl w:val="0"/>
          <w:numId w:val="10"/>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Negotiating a tolling agreement for LV Cogen’s expansion</w:t>
      </w:r>
    </w:p>
    <w:p>
      <w:pPr>
        <w:pStyle w:val="Normal"/>
        <w:widowControl/>
        <w:numPr>
          <w:ilvl w:val="0"/>
          <w:numId w:val="3"/>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combined cycle plant at Roseville, CA</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Bob Carter</w:t>
      </w:r>
    </w:p>
    <w:p>
      <w:pPr>
        <w:pStyle w:val="BodyText"/>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Acquiring site and equipment</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Development of combined cycle plant at Port of Longview, Washington and sale</w:t>
      </w:r>
    </w:p>
    <w:p>
      <w:pPr>
        <w:pStyle w:val="BodyText"/>
        <w:widowControl/>
        <w:numPr>
          <w:ilvl w:val="0"/>
          <w:numId w:val="10"/>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Dale Rasmussen/Sheila Tweed</w:t>
      </w:r>
    </w:p>
    <w:p>
      <w:pPr>
        <w:pStyle w:val="BodyText"/>
        <w:widowControl/>
        <w:numPr>
          <w:ilvl w:val="0"/>
          <w:numId w:val="10"/>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Permitting site and acquiring equipment</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Sale of power plant development in Colorado (Fountain Valley Power) and California (Pastoria)</w:t>
      </w:r>
    </w:p>
    <w:p>
      <w:pPr>
        <w:pStyle w:val="BodyText"/>
        <w:widowControl/>
        <w:tabs>
          <w:tab w:val="clear" w:pos="720"/>
          <w:tab w:val="left" w:pos="1260" w:leader="none"/>
        </w:tabs>
        <w:spacing w:lineRule="exact" w:line="220"/>
        <w:ind w:hanging="270" w:start="1080" w:end="0"/>
        <w:rPr>
          <w:rFonts w:ascii="Times New Roman" w:hAnsi="Times New Roman" w:cs="Times New Roman"/>
          <w:sz w:val="24"/>
        </w:rPr>
      </w:pPr>
      <w:r>
        <w:rPr>
          <w:rFonts w:cs="Times New Roman" w:ascii="Times New Roman" w:hAnsi="Times New Roman"/>
          <w:sz w:val="24"/>
        </w:rPr>
        <w:tab/>
        <w:t>-</w:t>
        <w:tab/>
        <w:t>Sheila Tweed/Karen Jones</w:t>
      </w:r>
    </w:p>
    <w:p>
      <w:pPr>
        <w:pStyle w:val="BodyText"/>
        <w:widowControl/>
        <w:numPr>
          <w:ilvl w:val="0"/>
          <w:numId w:val="10"/>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Sale of this project closed 4/11/01</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Joint power plant development with Hansen Cement</w:t>
      </w:r>
    </w:p>
    <w:p>
      <w:pPr>
        <w:pStyle w:val="BodyText"/>
        <w:widowControl/>
        <w:numPr>
          <w:ilvl w:val="0"/>
          <w:numId w:val="10"/>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Karen Jones</w:t>
      </w:r>
    </w:p>
    <w:p>
      <w:pPr>
        <w:pStyle w:val="BodyText"/>
        <w:widowControl/>
        <w:numPr>
          <w:ilvl w:val="0"/>
          <w:numId w:val="10"/>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Negotiating definitive agreements</w:t>
      </w:r>
    </w:p>
    <w:p>
      <w:pPr>
        <w:pStyle w:val="Normal"/>
        <w:widowControl/>
        <w:tabs>
          <w:tab w:val="clear" w:pos="720"/>
          <w:tab w:val="left" w:pos="1344" w:leader="none"/>
          <w:tab w:val="left" w:pos="5106" w:leader="none"/>
          <w:tab w:val="left" w:pos="7254" w:leader="none"/>
        </w:tabs>
        <w:spacing w:lineRule="exact" w:line="220" w:before="240" w:after="0"/>
        <w:rPr>
          <w:rFonts w:ascii="Times New Roman" w:hAnsi="Times New Roman" w:cs="Times New Roman"/>
          <w:sz w:val="24"/>
        </w:rPr>
      </w:pPr>
      <w:r>
        <w:rPr>
          <w:rFonts w:cs="Times New Roman" w:ascii="Times New Roman" w:hAnsi="Times New Roman"/>
          <w:sz w:val="24"/>
        </w:rPr>
        <w:t>UPSTREAM ORIGINATION AND HPL</w:t>
      </w:r>
    </w:p>
    <w:p>
      <w:pPr>
        <w:pStyle w:val="Normal"/>
        <w:widowControl/>
        <w:numPr>
          <w:ilvl w:val="0"/>
          <w:numId w:val="19"/>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Project Triple Lutz – Sale of HPL and related assets</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 w:hAnsi="Times New Roman" w:cs="Times New Roman"/>
          <w:sz w:val="24"/>
        </w:rPr>
      </w:pPr>
      <w:r>
        <w:rPr>
          <w:rFonts w:cs="Times New Roman" w:ascii="Times New Roman" w:hAnsi="Times New Roman"/>
          <w:sz w:val="24"/>
        </w:rPr>
        <w:tab/>
        <w:t>-</w:t>
        <w:tab/>
        <w:t>Barbara Gray/Anne Koehler</w:t>
      </w:r>
    </w:p>
    <w:p>
      <w:pPr>
        <w:pStyle w:val="BodyText"/>
        <w:widowContro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Update:</w:t>
        <w:tab/>
        <w:t>Executed definitive agreement on 1/11/01 with AEP; closing likely in Q2, 2001</w:t>
      </w:r>
    </w:p>
    <w:p>
      <w:pPr>
        <w:pStyle w:val="Normal"/>
        <w:widowControl/>
        <w:numPr>
          <w:ilvl w:val="0"/>
          <w:numId w:val="19"/>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Project 20/20 - Sale of Wyoming gathering assets/entities to Northern Border</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 w:hAnsi="Times New Roman" w:cs="Times New Roman"/>
          <w:sz w:val="24"/>
        </w:rPr>
      </w:pPr>
      <w:r>
        <w:rPr>
          <w:rFonts w:cs="Times New Roman" w:ascii="Times New Roman" w:hAnsi="Times New Roman"/>
          <w:sz w:val="24"/>
        </w:rPr>
        <w:tab/>
        <w:t>-</w:t>
        <w:tab/>
        <w:t>Barbara Gray</w:t>
      </w:r>
    </w:p>
    <w:p>
      <w:pPr>
        <w:pStyle w:val="BodyText"/>
        <w:widowControl/>
        <w:tabs>
          <w:tab w:val="clear" w:pos="720"/>
          <w:tab w:val="left" w:pos="1260" w:leader="none"/>
        </w:tabs>
        <w:spacing w:lineRule="exact" w:line="220"/>
        <w:ind w:hanging="1080" w:start="2160" w:end="0"/>
        <w:rPr/>
      </w:pPr>
      <w:r>
        <w:rPr>
          <w:rFonts w:cs="Times New Roman" w:ascii="Times New Roman" w:hAnsi="Times New Roman"/>
          <w:sz w:val="24"/>
        </w:rPr>
        <w:t>-</w:t>
        <w:tab/>
        <w:t>Update:</w:t>
        <w:tab/>
        <w:t>Project closed 3</w:t>
      </w:r>
      <w:r>
        <w:rPr>
          <w:rFonts w:cs="Times New Roman" w:ascii="Times New Roman" w:hAnsi="Times New Roman"/>
          <w:sz w:val="24"/>
          <w:vertAlign w:val="superscript"/>
        </w:rPr>
        <w:t>rd</w:t>
      </w:r>
      <w:r>
        <w:rPr>
          <w:rFonts w:cs="Times New Roman" w:ascii="Times New Roman" w:hAnsi="Times New Roman"/>
          <w:sz w:val="24"/>
        </w:rPr>
        <w:t xml:space="preserve"> Qtr;  post-closing obligations still underway</w:t>
      </w:r>
    </w:p>
    <w:p>
      <w:pPr>
        <w:pStyle w:val="Normal"/>
        <w:widowControl/>
        <w:numPr>
          <w:ilvl w:val="0"/>
          <w:numId w:val="19"/>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Routine RRC Audit of Annual Report and payment of Gross Receipts Taxes (mid 1997 – 1999)</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 w:hAnsi="Times New Roman" w:cs="Times New Roman"/>
          <w:sz w:val="24"/>
        </w:rPr>
      </w:pPr>
      <w:r>
        <w:rPr>
          <w:rFonts w:cs="Times New Roman" w:ascii="Times New Roman" w:hAnsi="Times New Roman"/>
          <w:sz w:val="24"/>
        </w:rPr>
        <w:t>-</w:t>
        <w:tab/>
        <w:t>HPL Accounting Department</w:t>
      </w:r>
    </w:p>
    <w:p>
      <w:pPr>
        <w:pStyle w:val="EndnoteText"/>
        <w:tabs>
          <w:tab w:val="clear" w:pos="720"/>
          <w:tab w:val="left" w:pos="1260" w:leader="none"/>
          <w:tab w:val="left" w:pos="180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w:t>
        <w:tab/>
        <w:t>Update:</w:t>
        <w:tab/>
        <w:t>HPL has decided to pay certain taxes relating to a monetization of the gas in the Bammel Storage Facility</w:t>
      </w:r>
    </w:p>
    <w:p>
      <w:pPr>
        <w:pStyle w:val="Normal"/>
        <w:widowControl/>
        <w:numPr>
          <w:ilvl w:val="0"/>
          <w:numId w:val="19"/>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 w:hAnsi="Times New Roman" w:cs="Times New Roman"/>
          <w:sz w:val="24"/>
        </w:rPr>
      </w:pPr>
      <w:r>
        <w:rPr>
          <w:rFonts w:cs="Times New Roman" w:ascii="Times New Roman" w:hAnsi="Times New Roman"/>
          <w:sz w:val="24"/>
        </w:rPr>
        <w:t>-</w:t>
        <w:tab/>
        <w:t>Barbara Gray/Eileen Kisluk</w:t>
      </w:r>
    </w:p>
    <w:p>
      <w:pPr>
        <w:pStyle w:val="EndnoteText"/>
        <w:tabs>
          <w:tab w:val="clear" w:pos="720"/>
          <w:tab w:val="left" w:pos="1260" w:leader="none"/>
          <w:tab w:val="left" w:pos="180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w:t>
        <w:tab/>
        <w:t>Update:</w:t>
        <w:tab/>
        <w:t>Initial stage of monitoring legal representation of Mark Wawro, hired by El Paso</w:t>
      </w:r>
    </w:p>
    <w:p>
      <w:pPr>
        <w:pStyle w:val="Normal"/>
        <w:widowControl/>
        <w:tabs>
          <w:tab w:val="clear" w:pos="720"/>
          <w:tab w:val="left" w:pos="1344" w:leader="none"/>
          <w:tab w:val="left" w:pos="5106" w:leader="none"/>
          <w:tab w:val="left" w:pos="7254" w:leader="none"/>
        </w:tabs>
        <w:spacing w:lineRule="exact" w:line="220" w:before="240" w:after="0"/>
        <w:rPr>
          <w:rFonts w:ascii="Times New Roman" w:hAnsi="Times New Roman" w:cs="Times New Roman"/>
          <w:sz w:val="24"/>
        </w:rPr>
      </w:pPr>
      <w:r>
        <w:rPr>
          <w:rFonts w:cs="Times New Roman" w:ascii="Times New Roman" w:hAnsi="Times New Roman"/>
          <w:sz w:val="24"/>
        </w:rPr>
        <w:t>FINANCE/M&amp;A/ENERGY INVESTMENTS</w:t>
      </w:r>
    </w:p>
    <w:p>
      <w:pPr>
        <w:pStyle w:val="Normal"/>
        <w:widowControl/>
        <w:numPr>
          <w:ilvl w:val="0"/>
          <w:numId w:val="4"/>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Brooklyn Navy Yard – Possible purchase of equity interests in partnership owning 50% of Brooklyn Navy Yard; commencement  of discussions with owner of remaining 50% interest</w:t>
      </w:r>
    </w:p>
    <w:p>
      <w:pPr>
        <w:pStyle w:val="Normal"/>
        <w:widowControl/>
        <w:tabs>
          <w:tab w:val="clear" w:pos="720"/>
          <w:tab w:val="left" w:pos="1080" w:leader="none"/>
          <w:tab w:val="left" w:pos="1260" w:leader="none"/>
        </w:tabs>
        <w:spacing w:lineRule="exact" w:line="220"/>
        <w:ind w:start="720" w:end="0"/>
        <w:jc w:val="both"/>
        <w:rPr>
          <w:rFonts w:ascii="Times New Roman" w:hAnsi="Times New Roman" w:cs="Times New Roman"/>
          <w:sz w:val="24"/>
        </w:rPr>
      </w:pPr>
      <w:r>
        <w:rPr>
          <w:rFonts w:cs="Times New Roman" w:ascii="Times New Roman" w:hAnsi="Times New Roman"/>
          <w:sz w:val="24"/>
        </w:rPr>
        <w:tab/>
        <w:t>-</w:t>
        <w:tab/>
        <w:t>Lisa Mellencamp/Angela Davis</w:t>
      </w:r>
    </w:p>
    <w:p>
      <w:pPr>
        <w:pStyle w:val="Normal"/>
        <w:widowControl/>
        <w:tabs>
          <w:tab w:val="clear" w:pos="720"/>
          <w:tab w:val="left" w:pos="1080" w:leader="none"/>
          <w:tab w:val="left" w:pos="1260" w:leader="none"/>
        </w:tabs>
        <w:spacing w:lineRule="exact" w:line="220"/>
        <w:ind w:hanging="1440" w:start="2160" w:end="0"/>
        <w:jc w:val="both"/>
        <w:rPr>
          <w:rFonts w:ascii="Times New Roman" w:hAnsi="Times New Roman" w:cs="Times New Roman"/>
          <w:sz w:val="24"/>
        </w:rPr>
      </w:pPr>
      <w:r>
        <w:rPr>
          <w:rFonts w:cs="Times New Roman" w:ascii="Times New Roman" w:hAnsi="Times New Roman"/>
          <w:sz w:val="24"/>
        </w:rPr>
        <w:tab/>
        <w:t>-</w:t>
        <w:tab/>
        <w:t>Update:  Agreements under negotiation</w:t>
      </w:r>
    </w:p>
    <w:p>
      <w:pPr>
        <w:pStyle w:val="Normal"/>
        <w:widowControl/>
        <w:numPr>
          <w:ilvl w:val="0"/>
          <w:numId w:val="4"/>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Acquisition and Disposition Transactions</w:t>
      </w:r>
    </w:p>
    <w:p>
      <w:pPr>
        <w:pStyle w:val="BodyText"/>
        <w:widowControl/>
        <w:tabs>
          <w:tab w:val="clear" w:pos="720"/>
          <w:tab w:val="left" w:pos="1260" w:leader="none"/>
        </w:tabs>
        <w:spacing w:lineRule="exact" w:line="220" w:before="120" w:after="0"/>
        <w:ind w:hanging="360" w:start="1080" w:end="0"/>
        <w:rPr>
          <w:rFonts w:ascii="Times New Roman" w:hAnsi="Times New Roman" w:cs="Times New Roman"/>
          <w:sz w:val="24"/>
        </w:rPr>
      </w:pPr>
      <w:r>
        <w:rPr>
          <w:rFonts w:cs="Times New Roman" w:ascii="Times New Roman" w:hAnsi="Times New Roman"/>
          <w:sz w:val="24"/>
        </w:rPr>
        <w:tab/>
        <w:t>Utiliquest - $70MM sale of company in which Enron/JEDI II own 75% interest</w:t>
      </w:r>
    </w:p>
    <w:p>
      <w:pPr>
        <w:pStyle w:val="BodyText"/>
        <w:widowControl/>
        <w:numPr>
          <w:ilvl w:val="0"/>
          <w:numId w:val="10"/>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Travis McCullough</w:t>
      </w:r>
    </w:p>
    <w:p>
      <w:pPr>
        <w:pStyle w:val="BodyText"/>
        <w:widowControl/>
        <w:tabs>
          <w:tab w:val="clear" w:pos="720"/>
          <w:tab w:val="left" w:pos="1080" w:leader="none"/>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Variety of transactions in term sheet or due diligence stage</w:t>
      </w:r>
    </w:p>
    <w:p>
      <w:pPr>
        <w:pStyle w:val="BodyText"/>
        <w:widowControl/>
        <w:numPr>
          <w:ilvl w:val="0"/>
          <w:numId w:val="4"/>
        </w:numPr>
        <w:tabs>
          <w:tab w:val="clear" w:pos="720"/>
          <w:tab w:val="left" w:pos="1260" w:leader="none"/>
        </w:tabs>
        <w:spacing w:lineRule="exact" w:line="220" w:before="120" w:after="0"/>
        <w:rPr>
          <w:rFonts w:ascii="Times New Roman" w:hAnsi="Times New Roman" w:cs="Times New Roman"/>
          <w:sz w:val="24"/>
        </w:rPr>
      </w:pPr>
      <w:r>
        <w:rPr>
          <w:rFonts w:cs="Times New Roman" w:ascii="Times New Roman" w:hAnsi="Times New Roman"/>
          <w:sz w:val="24"/>
        </w:rPr>
        <w:t>HEOF II Matters –Investments in minority-owned businesses; ongoing maintenance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4.</w:t>
        <w:tab/>
        <w:t>Production Payments – Variety of transactions involving production payments including:</w:t>
      </w:r>
    </w:p>
    <w:p>
      <w:pPr>
        <w:pStyle w:val="BodyText"/>
        <w:widowControl/>
        <w:tabs>
          <w:tab w:val="clear" w:pos="720"/>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KCS Energy – Purchase of $174 MM production payment</w:t>
      </w:r>
    </w:p>
    <w:p>
      <w:pPr>
        <w:pStyle w:val="BodyText"/>
        <w:widowControl/>
        <w:numPr>
          <w:ilvl w:val="0"/>
          <w:numId w:val="10"/>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BodyText"/>
        <w:widowContro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Update:</w:t>
        <w:tab/>
        <w:t>Closed; efforts to move off balance sheet underway</w:t>
      </w:r>
    </w:p>
    <w:p>
      <w:pPr>
        <w:pStyle w:val="BodyText"/>
        <w:widowControl/>
        <w:tabs>
          <w:tab w:val="clear" w:pos="720"/>
          <w:tab w:val="left" w:pos="1260" w:leader="none"/>
        </w:tabs>
        <w:spacing w:lineRule="exact" w:line="220" w:before="120" w:after="0"/>
        <w:ind w:hanging="1080" w:start="2160" w:end="0"/>
        <w:rPr>
          <w:rFonts w:ascii="Times New Roman" w:hAnsi="Times New Roman" w:cs="Times New Roman"/>
          <w:sz w:val="24"/>
        </w:rPr>
      </w:pPr>
      <w:r>
        <w:rPr>
          <w:rFonts w:cs="Times New Roman" w:ascii="Times New Roman" w:hAnsi="Times New Roman"/>
          <w:sz w:val="24"/>
        </w:rPr>
        <w:t>Tri-Union – Purchase of $100 MM production payment; $10MM equity investment</w:t>
      </w:r>
    </w:p>
    <w:p>
      <w:pPr>
        <w:pStyle w:val="BodyText"/>
        <w:widowControl/>
        <w:numPr>
          <w:ilvl w:val="0"/>
          <w:numId w:val="10"/>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BodyText"/>
        <w:widowControl/>
        <w:numPr>
          <w:ilvl w:val="0"/>
          <w:numId w:val="10"/>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Update:</w:t>
        <w:tab/>
        <w:t>Negotiations on LOU underway</w:t>
      </w:r>
    </w:p>
    <w:p>
      <w:pPr>
        <w:pStyle w:val="BodyText"/>
        <w:widowControl/>
        <w:tabs>
          <w:tab w:val="clear" w:pos="720"/>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Brazos VPP LP– $202 MM funding vehicle for production payments</w:t>
      </w:r>
    </w:p>
    <w:p>
      <w:pPr>
        <w:pStyle w:val="BodyText"/>
        <w:widowControl/>
        <w:numPr>
          <w:ilvl w:val="0"/>
          <w:numId w:val="10"/>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BodyText"/>
        <w:widowControl/>
        <w:numPr>
          <w:ilvl w:val="0"/>
          <w:numId w:val="10"/>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Update:</w:t>
        <w:tab/>
        <w:t>Closed; amendments underway</w:t>
      </w:r>
    </w:p>
    <w:p>
      <w:pPr>
        <w:pStyle w:val="BodyText"/>
        <w:widowControl/>
        <w:tabs>
          <w:tab w:val="clear" w:pos="720"/>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Brazos II – Structuring of new funding vehicle for production payments underway</w:t>
      </w:r>
    </w:p>
    <w:p>
      <w:pPr>
        <w:pStyle w:val="BodyText"/>
        <w:widowControl/>
        <w:numPr>
          <w:ilvl w:val="0"/>
          <w:numId w:val="10"/>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5.</w:t>
        <w:tab/>
        <w:t>Merchant Portfolio Matters – Continued dispositions and monetizations of the ENA merchant portfolio including transfers of assets to Condor vehicle (Project Velocity), and sales/restructurings of numerous merchant investments</w:t>
      </w:r>
    </w:p>
    <w:p>
      <w:pPr>
        <w:pStyle w:val="Normal"/>
        <w:widowControl/>
        <w:tabs>
          <w:tab w:val="clear" w:pos="720"/>
          <w:tab w:val="left" w:pos="1080" w:leader="none"/>
          <w:tab w:val="left" w:pos="1260" w:leader="none"/>
        </w:tabs>
        <w:spacing w:lineRule="exact" w:line="220"/>
        <w:ind w:start="1080" w:end="0"/>
        <w:jc w:val="both"/>
        <w:rPr>
          <w:rFonts w:ascii="Times New Roman" w:hAnsi="Times New Roman" w:cs="Times New Roman"/>
          <w:sz w:val="24"/>
        </w:rPr>
      </w:pPr>
      <w:r>
        <w:rPr>
          <w:rFonts w:cs="Times New Roman" w:ascii="Times New Roman" w:hAnsi="Times New Roman"/>
          <w:sz w:val="24"/>
        </w:rPr>
        <w:t>-</w:t>
        <w:tab/>
        <w:t>Travis McCullough/Lisa Mellencamp/Angela Davis/Eddy/Daniels/Robert George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6.</w:t>
        <w:tab/>
        <w:t>East Coast Power – Sale of power generation assets to El Paso Energy</w:t>
      </w:r>
    </w:p>
    <w:p>
      <w:pPr>
        <w:pStyle w:val="BodyText"/>
        <w:widowControl/>
        <w:numPr>
          <w:ilvl w:val="0"/>
          <w:numId w:val="10"/>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Lisa Mellencamp</w:t>
      </w:r>
    </w:p>
    <w:p>
      <w:pPr>
        <w:pStyle w:val="BodyText"/>
        <w:widowControl/>
        <w:numPr>
          <w:ilvl w:val="0"/>
          <w:numId w:val="10"/>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Update:  Sale closed 2/23/01; efforts underway to monetize contractual cash flows received in sale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7.</w:t>
        <w:tab/>
        <w:t>Project Merlin – Evaluating additional Enron credit support for portfolio and other alternatives</w:t>
      </w:r>
    </w:p>
    <w:p>
      <w:pPr>
        <w:pStyle w:val="BodyText"/>
        <w:widowControl/>
        <w:numPr>
          <w:ilvl w:val="0"/>
          <w:numId w:val="10"/>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Travis McCullough/Anne Koehler</w:t>
      </w:r>
    </w:p>
    <w:p>
      <w:pPr>
        <w:pStyle w:val="BodyText"/>
        <w:widowControl/>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r>
    </w:p>
    <w:p>
      <w:pPr>
        <w:pStyle w:val="BodyText"/>
        <w:widowControl/>
        <w:tabs>
          <w:tab w:val="left" w:pos="360" w:leader="none"/>
          <w:tab w:val="left" w:pos="720" w:leader="none"/>
          <w:tab w:val="left" w:pos="1080" w:leader="none"/>
          <w:tab w:val="left" w:pos="1440" w:leader="none"/>
          <w:tab w:val="left" w:pos="1800" w:leader="none"/>
        </w:tabs>
        <w:spacing w:lineRule="exact" w:line="220"/>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rPr>
      </w:pPr>
      <w:r>
        <w:rPr>
          <w:rFonts w:cs="Times New Roman" w:ascii="Times New Roman" w:hAnsi="Times New Roman"/>
        </w:rPr>
        <w:t>Enron Industrial Markets LLC</w:t>
      </w:r>
    </w:p>
    <w:p>
      <w:pPr>
        <w:pStyle w:val="Heading1"/>
        <w:rPr>
          <w:rFonts w:ascii="Times New Roman" w:hAnsi="Times New Roman" w:cs="Times New Roman"/>
          <w:b w:val="false"/>
          <w:bCs/>
          <w:sz w:val="24"/>
        </w:rPr>
      </w:pPr>
      <w:r>
        <w:rPr>
          <w:rFonts w:cs="Times New Roman"/>
          <w:b w:val="false"/>
          <w:bCs/>
          <w:sz w:val="24"/>
        </w:rPr>
      </w:r>
    </w:p>
    <w:p>
      <w:pPr>
        <w:pStyle w:val="Heading1"/>
        <w:rPr>
          <w:sz w:val="24"/>
        </w:rPr>
      </w:pPr>
      <w:r>
        <w:rPr>
          <w:b w:val="false"/>
          <w:bCs/>
          <w:sz w:val="24"/>
        </w:rPr>
        <w:t>Organization</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2"/>
        </w:numPr>
        <w:rPr>
          <w:rFonts w:ascii="Times New Roman" w:hAnsi="Times New Roman" w:cs="Times New Roman"/>
          <w:sz w:val="24"/>
        </w:rPr>
      </w:pPr>
      <w:r>
        <w:rPr>
          <w:rFonts w:cs="Times New Roman" w:ascii="Times New Roman" w:hAnsi="Times New Roman"/>
          <w:sz w:val="24"/>
        </w:rPr>
        <w:t>Organization of Trading/Operations structures (ENA, EIM) [Julia Murray]</w:t>
      </w:r>
    </w:p>
    <w:p>
      <w:pPr>
        <w:pStyle w:val="Normal"/>
        <w:numPr>
          <w:ilvl w:val="0"/>
          <w:numId w:val="22"/>
        </w:numPr>
        <w:rPr>
          <w:rFonts w:ascii="Times New Roman" w:hAnsi="Times New Roman" w:cs="Times New Roman"/>
          <w:sz w:val="24"/>
        </w:rPr>
      </w:pPr>
      <w:r>
        <w:rPr>
          <w:rFonts w:cs="Times New Roman" w:ascii="Times New Roman" w:hAnsi="Times New Roman"/>
          <w:sz w:val="24"/>
        </w:rPr>
        <w:t>Cross-Functional Support for EIM Business (Logistics, Legal, Tax, Accounting) [Julia Murray]</w:t>
      </w:r>
    </w:p>
    <w:p>
      <w:pPr>
        <w:pStyle w:val="Normal"/>
        <w:numPr>
          <w:ilvl w:val="0"/>
          <w:numId w:val="22"/>
        </w:numPr>
        <w:rPr>
          <w:rFonts w:ascii="Times New Roman" w:hAnsi="Times New Roman" w:cs="Times New Roman"/>
          <w:sz w:val="24"/>
        </w:rPr>
      </w:pPr>
      <w:r>
        <w:rPr>
          <w:rFonts w:cs="Times New Roman" w:ascii="Times New Roman" w:hAnsi="Times New Roman"/>
          <w:sz w:val="24"/>
        </w:rPr>
        <w:t>Financings [Julia Murray, Dan Lyons]</w:t>
      </w:r>
    </w:p>
    <w:p>
      <w:pPr>
        <w:pStyle w:val="Normal"/>
        <w:numPr>
          <w:ilvl w:val="1"/>
          <w:numId w:val="22"/>
        </w:numPr>
        <w:rPr>
          <w:rFonts w:ascii="Times New Roman" w:hAnsi="Times New Roman" w:cs="Times New Roman"/>
          <w:sz w:val="24"/>
        </w:rPr>
      </w:pPr>
      <w:r>
        <w:rPr>
          <w:rFonts w:cs="Times New Roman" w:ascii="Times New Roman" w:hAnsi="Times New Roman"/>
          <w:sz w:val="24"/>
        </w:rPr>
        <w:t>Crane financing</w:t>
      </w:r>
    </w:p>
    <w:p>
      <w:pPr>
        <w:pStyle w:val="Normal"/>
        <w:numPr>
          <w:ilvl w:val="1"/>
          <w:numId w:val="22"/>
        </w:numPr>
        <w:rPr>
          <w:rFonts w:ascii="Times New Roman" w:hAnsi="Times New Roman" w:cs="Times New Roman"/>
          <w:sz w:val="24"/>
        </w:rPr>
      </w:pPr>
      <w:r>
        <w:rPr>
          <w:rFonts w:cs="Times New Roman" w:ascii="Times New Roman" w:hAnsi="Times New Roman"/>
          <w:sz w:val="24"/>
        </w:rPr>
        <w:t>Inventory Fund</w:t>
      </w:r>
    </w:p>
    <w:p>
      <w:pPr>
        <w:pStyle w:val="Normal"/>
        <w:numPr>
          <w:ilvl w:val="1"/>
          <w:numId w:val="22"/>
        </w:numPr>
        <w:rPr>
          <w:rFonts w:ascii="Times New Roman" w:hAnsi="Times New Roman" w:cs="Times New Roman"/>
          <w:sz w:val="24"/>
        </w:rPr>
      </w:pPr>
      <w:r>
        <w:rPr>
          <w:rFonts w:cs="Times New Roman" w:ascii="Times New Roman" w:hAnsi="Times New Roman"/>
          <w:sz w:val="24"/>
        </w:rPr>
        <w:t>EIM Fund – deconsolidation vehicle</w:t>
      </w:r>
    </w:p>
    <w:p>
      <w:pPr>
        <w:pStyle w:val="Heading1"/>
        <w:rPr>
          <w:rFonts w:ascii="Times New Roman" w:hAnsi="Times New Roman" w:cs="Times New Roman"/>
          <w:b w:val="false"/>
          <w:bCs/>
          <w:sz w:val="24"/>
        </w:rPr>
      </w:pPr>
      <w:r>
        <w:rPr>
          <w:rFonts w:cs="Times New Roman"/>
          <w:b w:val="false"/>
          <w:bCs/>
          <w:sz w:val="24"/>
        </w:rPr>
      </w:r>
    </w:p>
    <w:p>
      <w:pPr>
        <w:pStyle w:val="Heading1"/>
        <w:rPr>
          <w:b w:val="false"/>
          <w:bCs/>
          <w:sz w:val="24"/>
        </w:rPr>
      </w:pPr>
      <w:r>
        <w:rPr>
          <w:b w:val="false"/>
          <w:bCs/>
          <w:sz w:val="24"/>
        </w:rPr>
        <w:t>Pulp &amp; Paper</w:t>
      </w:r>
    </w:p>
    <w:p>
      <w:pPr>
        <w:pStyle w:val="Normal"/>
        <w:rPr>
          <w:rFonts w:ascii="Times New Roman" w:hAnsi="Times New Roman" w:cs="Times New Roman"/>
          <w:b/>
          <w:bCs/>
          <w:sz w:val="24"/>
        </w:rPr>
      </w:pPr>
      <w:r>
        <w:rPr>
          <w:rFonts w:cs="Times New Roman" w:ascii="Times New Roman" w:hAnsi="Times New Roman"/>
          <w:b/>
          <w:bCs/>
          <w:sz w:val="24"/>
        </w:rPr>
      </w:r>
    </w:p>
    <w:p>
      <w:pPr>
        <w:pStyle w:val="Normal"/>
        <w:numPr>
          <w:ilvl w:val="0"/>
          <w:numId w:val="12"/>
        </w:numPr>
        <w:rPr>
          <w:rFonts w:ascii="Times New Roman" w:hAnsi="Times New Roman" w:cs="Times New Roman"/>
          <w:sz w:val="24"/>
        </w:rPr>
      </w:pPr>
      <w:r>
        <w:rPr>
          <w:rFonts w:cs="Times New Roman" w:ascii="Times New Roman" w:hAnsi="Times New Roman"/>
          <w:sz w:val="24"/>
        </w:rPr>
        <w:t>Mergers &amp; Acquisitions/Originations [Peter del Vecchio]</w:t>
      </w:r>
    </w:p>
    <w:p>
      <w:pPr>
        <w:pStyle w:val="Normal"/>
        <w:numPr>
          <w:ilvl w:val="1"/>
          <w:numId w:val="12"/>
        </w:numPr>
        <w:rPr>
          <w:rFonts w:ascii="Times New Roman" w:hAnsi="Times New Roman" w:cs="Times New Roman"/>
          <w:sz w:val="24"/>
        </w:rPr>
      </w:pPr>
      <w:r>
        <w:rPr>
          <w:rFonts w:cs="Times New Roman" w:ascii="Times New Roman" w:hAnsi="Times New Roman"/>
          <w:sz w:val="24"/>
        </w:rPr>
        <w:t>Project Crane (Purchase Price $360 MM) – Closed 3/30/01</w:t>
      </w:r>
    </w:p>
    <w:p>
      <w:pPr>
        <w:pStyle w:val="Normal"/>
        <w:numPr>
          <w:ilvl w:val="1"/>
          <w:numId w:val="12"/>
        </w:numPr>
        <w:rPr>
          <w:rFonts w:ascii="Times New Roman" w:hAnsi="Times New Roman" w:cs="Times New Roman"/>
          <w:sz w:val="24"/>
        </w:rPr>
      </w:pPr>
      <w:r>
        <w:rPr>
          <w:rFonts w:cs="Times New Roman" w:ascii="Times New Roman" w:hAnsi="Times New Roman"/>
          <w:sz w:val="24"/>
        </w:rPr>
        <w:t>Papier Masson Ltee. (PML): Sale of Enron 28% equity interest [Peter Keohane]</w:t>
      </w:r>
    </w:p>
    <w:p>
      <w:pPr>
        <w:pStyle w:val="Normal"/>
        <w:numPr>
          <w:ilvl w:val="1"/>
          <w:numId w:val="12"/>
        </w:numPr>
        <w:rPr>
          <w:rFonts w:ascii="Times New Roman" w:hAnsi="Times New Roman" w:cs="Times New Roman"/>
          <w:sz w:val="24"/>
        </w:rPr>
      </w:pPr>
      <w:r>
        <w:rPr>
          <w:rFonts w:cs="Times New Roman" w:ascii="Times New Roman" w:hAnsi="Times New Roman"/>
          <w:sz w:val="24"/>
        </w:rPr>
        <w:t>Georgia Pacific Lumber Inventory Risk Management</w:t>
      </w:r>
    </w:p>
    <w:p>
      <w:pPr>
        <w:pStyle w:val="Normal"/>
        <w:numPr>
          <w:ilvl w:val="1"/>
          <w:numId w:val="12"/>
        </w:numPr>
        <w:rPr>
          <w:rFonts w:ascii="Times New Roman" w:hAnsi="Times New Roman" w:cs="Times New Roman"/>
          <w:sz w:val="24"/>
        </w:rPr>
      </w:pPr>
      <w:r>
        <w:rPr>
          <w:rFonts w:cs="Times New Roman" w:ascii="Times New Roman" w:hAnsi="Times New Roman"/>
          <w:sz w:val="24"/>
        </w:rPr>
        <w:t>Potlach – Greenfield tissue plant structured finance [Stoler]</w:t>
      </w:r>
    </w:p>
    <w:p>
      <w:pPr>
        <w:pStyle w:val="Normal"/>
        <w:numPr>
          <w:ilvl w:val="0"/>
          <w:numId w:val="12"/>
        </w:numPr>
        <w:rPr>
          <w:rFonts w:ascii="Times New Roman" w:hAnsi="Times New Roman" w:cs="Times New Roman"/>
          <w:sz w:val="24"/>
        </w:rPr>
      </w:pPr>
      <w:r>
        <w:rPr>
          <w:rFonts w:cs="Times New Roman" w:ascii="Times New Roman" w:hAnsi="Times New Roman"/>
          <w:sz w:val="24"/>
        </w:rPr>
        <w:t>Garden State Paper [Peter del Vecchio]</w:t>
      </w:r>
    </w:p>
    <w:p>
      <w:pPr>
        <w:pStyle w:val="Normal"/>
        <w:numPr>
          <w:ilvl w:val="1"/>
          <w:numId w:val="12"/>
        </w:numPr>
        <w:rPr>
          <w:rFonts w:ascii="Times New Roman" w:hAnsi="Times New Roman" w:cs="Times New Roman"/>
          <w:sz w:val="24"/>
        </w:rPr>
      </w:pPr>
      <w:r>
        <w:rPr>
          <w:rFonts w:cs="Times New Roman" w:ascii="Times New Roman" w:hAnsi="Times New Roman"/>
          <w:sz w:val="24"/>
        </w:rPr>
        <w:t>Post-closing matters</w:t>
      </w:r>
    </w:p>
    <w:p>
      <w:pPr>
        <w:pStyle w:val="Normal"/>
        <w:numPr>
          <w:ilvl w:val="1"/>
          <w:numId w:val="12"/>
        </w:numPr>
        <w:rPr>
          <w:rFonts w:ascii="Times New Roman" w:hAnsi="Times New Roman" w:cs="Times New Roman"/>
          <w:sz w:val="24"/>
        </w:rPr>
      </w:pPr>
      <w:r>
        <w:rPr>
          <w:rFonts w:cs="Times New Roman" w:ascii="Times New Roman" w:hAnsi="Times New Roman"/>
          <w:sz w:val="24"/>
        </w:rPr>
        <w:t>Operations</w:t>
      </w:r>
    </w:p>
    <w:p>
      <w:pPr>
        <w:pStyle w:val="Normal"/>
        <w:ind w:hanging="360" w:start="720" w:end="0"/>
        <w:rPr>
          <w:rFonts w:ascii="Times New Roman" w:hAnsi="Times New Roman" w:cs="Times New Roman"/>
          <w:sz w:val="24"/>
        </w:rPr>
      </w:pPr>
      <w:r>
        <w:rPr>
          <w:rFonts w:cs="Times New Roman" w:ascii="Times New Roman" w:hAnsi="Times New Roman"/>
          <w:sz w:val="24"/>
        </w:rPr>
        <w:t>3.</w:t>
        <w:tab/>
        <w:t>Physical Trading [Harry Collins]</w:t>
      </w:r>
    </w:p>
    <w:p>
      <w:pPr>
        <w:pStyle w:val="Normal"/>
        <w:rPr>
          <w:rFonts w:ascii="Times New Roman" w:hAnsi="Times New Roman" w:cs="Times New Roman"/>
          <w:sz w:val="24"/>
        </w:rPr>
      </w:pPr>
      <w:r>
        <w:rPr>
          <w:rFonts w:cs="Times New Roman" w:ascii="Times New Roman" w:hAnsi="Times New Roman"/>
          <w:sz w:val="24"/>
        </w:rPr>
      </w:r>
    </w:p>
    <w:p>
      <w:pPr>
        <w:pStyle w:val="Heading2"/>
        <w:rPr>
          <w:sz w:val="24"/>
        </w:rPr>
      </w:pPr>
      <w:r>
        <w:rPr>
          <w:sz w:val="24"/>
        </w:rPr>
        <w:t>Steel</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1"/>
        </w:numPr>
        <w:rPr>
          <w:rFonts w:ascii="Times New Roman" w:hAnsi="Times New Roman" w:cs="Times New Roman"/>
          <w:sz w:val="24"/>
        </w:rPr>
      </w:pPr>
      <w:r>
        <w:rPr>
          <w:rFonts w:cs="Times New Roman" w:ascii="Times New Roman" w:hAnsi="Times New Roman"/>
          <w:sz w:val="24"/>
        </w:rPr>
        <w:t>Origination</w:t>
      </w:r>
    </w:p>
    <w:p>
      <w:pPr>
        <w:pStyle w:val="BodyTextIndent"/>
        <w:numPr>
          <w:ilvl w:val="2"/>
          <w:numId w:val="12"/>
        </w:numPr>
        <w:ind w:hanging="360" w:start="1440" w:end="0"/>
        <w:rPr>
          <w:sz w:val="24"/>
        </w:rPr>
      </w:pPr>
      <w:r>
        <w:rPr>
          <w:sz w:val="24"/>
        </w:rPr>
        <w:t>Webco [Dan Lyons] ($19 MM Inventory financing) - Closed</w:t>
      </w:r>
    </w:p>
    <w:p>
      <w:pPr>
        <w:pStyle w:val="BodyTextIndent"/>
        <w:numPr>
          <w:ilvl w:val="2"/>
          <w:numId w:val="12"/>
        </w:numPr>
        <w:ind w:hanging="360" w:start="1440" w:end="0"/>
        <w:rPr>
          <w:sz w:val="24"/>
        </w:rPr>
      </w:pPr>
      <w:r>
        <w:rPr>
          <w:sz w:val="24"/>
        </w:rPr>
        <w:t>Huntco [Lou Stoler] – Initial Closing</w:t>
      </w:r>
    </w:p>
    <w:p>
      <w:pPr>
        <w:pStyle w:val="BodyTextIndent"/>
        <w:numPr>
          <w:ilvl w:val="2"/>
          <w:numId w:val="12"/>
        </w:numPr>
        <w:ind w:hanging="360" w:start="1440" w:end="0"/>
        <w:rPr>
          <w:sz w:val="24"/>
        </w:rPr>
      </w:pPr>
      <w:r>
        <w:rPr>
          <w:sz w:val="24"/>
        </w:rPr>
        <w:t>Olympia [Dan Lyons]</w:t>
      </w:r>
    </w:p>
    <w:p>
      <w:pPr>
        <w:pStyle w:val="Normal"/>
        <w:numPr>
          <w:ilvl w:val="0"/>
          <w:numId w:val="21"/>
        </w:numPr>
        <w:rPr>
          <w:rFonts w:ascii="Times New Roman" w:hAnsi="Times New Roman" w:cs="Times New Roman"/>
          <w:sz w:val="24"/>
        </w:rPr>
      </w:pPr>
      <w:r>
        <w:rPr>
          <w:rFonts w:cs="Times New Roman" w:ascii="Times New Roman" w:hAnsi="Times New Roman"/>
          <w:sz w:val="24"/>
        </w:rPr>
        <w:t>Physical Trading [Harry Collins]</w:t>
      </w:r>
    </w:p>
    <w:p>
      <w:pPr>
        <w:pStyle w:val="Normal"/>
        <w:numPr>
          <w:ilvl w:val="0"/>
          <w:numId w:val="21"/>
        </w:numPr>
        <w:rPr>
          <w:rFonts w:ascii="Times New Roman" w:hAnsi="Times New Roman" w:cs="Times New Roman"/>
          <w:sz w:val="24"/>
        </w:rPr>
      </w:pPr>
      <w:r>
        <w:rPr>
          <w:rFonts w:cs="Times New Roman" w:ascii="Times New Roman" w:hAnsi="Times New Roman"/>
          <w:sz w:val="24"/>
        </w:rPr>
        <w:t>Developing Inventory Risk Management Structures for all commodities</w:t>
      </w:r>
    </w:p>
    <w:p>
      <w:pPr>
        <w:pStyle w:val="Normal"/>
        <w:numPr>
          <w:ilvl w:val="0"/>
          <w:numId w:val="21"/>
        </w:numPr>
        <w:rPr>
          <w:rFonts w:ascii="Times New Roman" w:hAnsi="Times New Roman" w:cs="Times New Roman"/>
          <w:sz w:val="24"/>
        </w:rPr>
      </w:pPr>
      <w:r>
        <w:rPr>
          <w:rFonts w:cs="Times New Roman" w:ascii="Times New Roman" w:hAnsi="Times New Roman"/>
          <w:sz w:val="24"/>
        </w:rPr>
        <w:t>Assisting in development of internal policies for warehousing and other logistics</w:t>
      </w:r>
    </w:p>
    <w:p>
      <w:pPr>
        <w:pStyle w:val="Normal"/>
        <w:numPr>
          <w:ilvl w:val="0"/>
          <w:numId w:val="21"/>
        </w:numPr>
        <w:rPr>
          <w:rFonts w:ascii="Times New Roman" w:hAnsi="Times New Roman" w:cs="Times New Roman"/>
          <w:sz w:val="24"/>
        </w:rPr>
      </w:pPr>
      <w:r>
        <w:rPr>
          <w:rFonts w:cs="Times New Roman" w:ascii="Times New Roman" w:hAnsi="Times New Roman"/>
          <w:sz w:val="24"/>
        </w:rPr>
        <w:t>Developing informational database with respect to antidumping and trade regulations affecting initial list of countries focused on by steel traders</w:t>
      </w:r>
    </w:p>
    <w:p>
      <w:pPr>
        <w:pStyle w:val="Normal"/>
        <w:rPr>
          <w:rFonts w:ascii="Times New Roman" w:hAnsi="Times New Roman" w:cs="Times New Roman"/>
          <w:sz w:val="24"/>
        </w:rPr>
      </w:pPr>
      <w:r>
        <w:rPr>
          <w:rFonts w:cs="Times New Roman" w:ascii="Times New Roman" w:hAnsi="Times New Roman"/>
          <w:sz w:val="24"/>
        </w:rPr>
      </w:r>
    </w:p>
    <w:p>
      <w:pPr>
        <w:pStyle w:val="Heading2"/>
        <w:rPr>
          <w:sz w:val="24"/>
        </w:rPr>
      </w:pPr>
      <w:r>
        <w:rPr>
          <w:sz w:val="24"/>
        </w:rPr>
        <w:t>Miscellaneous</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5"/>
        </w:numPr>
        <w:rPr>
          <w:rFonts w:ascii="Times New Roman" w:hAnsi="Times New Roman" w:cs="Times New Roman"/>
          <w:sz w:val="24"/>
        </w:rPr>
      </w:pPr>
      <w:r>
        <w:rPr>
          <w:rFonts w:cs="Times New Roman" w:ascii="Times New Roman" w:hAnsi="Times New Roman"/>
          <w:sz w:val="24"/>
        </w:rPr>
        <w:t>Antitrust Training</w:t>
      </w:r>
    </w:p>
    <w:p>
      <w:pPr>
        <w:pStyle w:val="Normal"/>
        <w:numPr>
          <w:ilvl w:val="1"/>
          <w:numId w:val="15"/>
        </w:numPr>
        <w:rPr>
          <w:rFonts w:ascii="Times New Roman" w:hAnsi="Times New Roman" w:cs="Times New Roman"/>
          <w:sz w:val="24"/>
        </w:rPr>
      </w:pPr>
      <w:r>
        <w:rPr>
          <w:rFonts w:cs="Times New Roman" w:ascii="Times New Roman" w:hAnsi="Times New Roman"/>
          <w:sz w:val="24"/>
        </w:rPr>
        <w:t>Garden State Paper (Harry Collins - Completed 2/3/01)</w:t>
      </w:r>
    </w:p>
    <w:p>
      <w:pPr>
        <w:pStyle w:val="Normal"/>
        <w:numPr>
          <w:ilvl w:val="1"/>
          <w:numId w:val="15"/>
        </w:numPr>
        <w:rPr>
          <w:rFonts w:ascii="Times New Roman" w:hAnsi="Times New Roman" w:cs="Times New Roman"/>
          <w:sz w:val="24"/>
        </w:rPr>
      </w:pPr>
      <w:r>
        <w:rPr>
          <w:rFonts w:cs="Times New Roman" w:ascii="Times New Roman" w:hAnsi="Times New Roman"/>
          <w:sz w:val="24"/>
        </w:rPr>
        <w:t>EIM Traders (Gerald Beeney - Completed 2/13/01)</w:t>
      </w:r>
    </w:p>
    <w:p>
      <w:pPr>
        <w:pStyle w:val="Normal"/>
        <w:numPr>
          <w:ilvl w:val="0"/>
          <w:numId w:val="15"/>
        </w:numPr>
        <w:rPr>
          <w:rFonts w:ascii="Times New Roman" w:hAnsi="Times New Roman" w:cs="Times New Roman"/>
          <w:sz w:val="24"/>
        </w:rPr>
      </w:pPr>
      <w:r>
        <w:rPr>
          <w:rFonts w:cs="Times New Roman" w:ascii="Times New Roman" w:hAnsi="Times New Roman"/>
          <w:sz w:val="24"/>
        </w:rPr>
        <w:t>Environmental Risk Education</w:t>
      </w:r>
    </w:p>
    <w:p>
      <w:pPr>
        <w:pStyle w:val="Normal"/>
        <w:numPr>
          <w:ilvl w:val="0"/>
          <w:numId w:val="5"/>
        </w:numPr>
        <w:ind w:hanging="0" w:start="1080" w:end="0"/>
        <w:rPr>
          <w:rFonts w:ascii="Times New Roman" w:hAnsi="Times New Roman" w:cs="Times New Roman"/>
          <w:sz w:val="24"/>
        </w:rPr>
      </w:pPr>
      <w:r>
        <w:rPr>
          <w:rFonts w:cs="Times New Roman" w:ascii="Times New Roman" w:hAnsi="Times New Roman"/>
          <w:sz w:val="24"/>
        </w:rPr>
        <w:t>Seminar:  Completed 1/18/01</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5"/>
        </w:numPr>
        <w:rPr>
          <w:rFonts w:ascii="Times New Roman" w:hAnsi="Times New Roman" w:cs="Times New Roman"/>
          <w:sz w:val="24"/>
        </w:rPr>
      </w:pPr>
      <w:r>
        <w:rPr>
          <w:rFonts w:cs="Times New Roman" w:ascii="Times New Roman" w:hAnsi="Times New Roman"/>
          <w:sz w:val="24"/>
        </w:rPr>
        <w:t>Employment/Labor Matters</w:t>
      </w:r>
    </w:p>
    <w:p>
      <w:pPr>
        <w:pStyle w:val="Normal"/>
        <w:numPr>
          <w:ilvl w:val="0"/>
          <w:numId w:val="5"/>
        </w:numPr>
        <w:ind w:hanging="360" w:start="1440" w:end="0"/>
        <w:rPr>
          <w:rFonts w:ascii="Times New Roman" w:hAnsi="Times New Roman" w:cs="Times New Roman"/>
          <w:sz w:val="24"/>
        </w:rPr>
      </w:pPr>
      <w:r>
        <w:rPr>
          <w:rFonts w:cs="Times New Roman" w:ascii="Times New Roman" w:hAnsi="Times New Roman"/>
          <w:sz w:val="24"/>
        </w:rPr>
        <w:t>Seminar:  Completed 1/25/01</w:t>
      </w:r>
    </w:p>
    <w:p>
      <w:pPr>
        <w:pStyle w:val="Normal"/>
        <w:numPr>
          <w:ilvl w:val="0"/>
          <w:numId w:val="15"/>
        </w:numPr>
        <w:rPr>
          <w:rFonts w:ascii="Times New Roman" w:hAnsi="Times New Roman" w:cs="Times New Roman"/>
          <w:sz w:val="24"/>
        </w:rPr>
      </w:pPr>
      <w:r>
        <w:rPr>
          <w:rFonts w:cs="Times New Roman" w:ascii="Times New Roman" w:hAnsi="Times New Roman"/>
          <w:sz w:val="24"/>
        </w:rPr>
        <w:t>Training re: Deal Process – Completed 4/01/01</w:t>
      </w:r>
    </w:p>
    <w:p>
      <w:pPr>
        <w:pStyle w:val="Normal"/>
        <w:numPr>
          <w:ilvl w:val="0"/>
          <w:numId w:val="15"/>
        </w:numPr>
        <w:rPr>
          <w:rFonts w:ascii="Times New Roman" w:hAnsi="Times New Roman" w:cs="Times New Roman"/>
          <w:sz w:val="24"/>
        </w:rPr>
      </w:pPr>
      <w:r>
        <w:rPr>
          <w:rFonts w:cs="Times New Roman" w:ascii="Times New Roman" w:hAnsi="Times New Roman"/>
          <w:sz w:val="24"/>
        </w:rPr>
        <w:t>Training of Attorneys – regarding trading forms and procedures (Offsite 3/7/01)</w:t>
      </w:r>
    </w:p>
    <w:p>
      <w:pPr>
        <w:pStyle w:val="Normal"/>
        <w:numPr>
          <w:ilvl w:val="0"/>
          <w:numId w:val="15"/>
        </w:numPr>
        <w:rPr>
          <w:rFonts w:ascii="Times New Roman" w:hAnsi="Times New Roman" w:cs="Times New Roman"/>
          <w:sz w:val="24"/>
        </w:rPr>
      </w:pPr>
      <w:r>
        <w:rPr>
          <w:rFonts w:cs="Times New Roman" w:ascii="Times New Roman" w:hAnsi="Times New Roman"/>
          <w:sz w:val="24"/>
        </w:rPr>
        <w:t>Review of Outside Counsel</w:t>
      </w:r>
    </w:p>
    <w:p>
      <w:pPr>
        <w:pStyle w:val="Normal"/>
        <w:numPr>
          <w:ilvl w:val="0"/>
          <w:numId w:val="15"/>
        </w:numPr>
        <w:rPr>
          <w:rFonts w:ascii="Times New Roman" w:hAnsi="Times New Roman" w:cs="Times New Roman"/>
          <w:sz w:val="24"/>
        </w:rPr>
      </w:pPr>
      <w:r>
        <w:rPr>
          <w:rFonts w:cs="Times New Roman" w:ascii="Times New Roman" w:hAnsi="Times New Roman"/>
          <w:sz w:val="24"/>
        </w:rPr>
        <w:t>Legal Resources on EIM intranet</w:t>
      </w:r>
    </w:p>
    <w:p>
      <w:pPr>
        <w:pStyle w:val="Normal"/>
        <w:numPr>
          <w:ilvl w:val="0"/>
          <w:numId w:val="15"/>
        </w:numPr>
        <w:rPr>
          <w:rFonts w:ascii="Times New Roman" w:hAnsi="Times New Roman" w:cs="Times New Roman"/>
          <w:sz w:val="24"/>
        </w:rPr>
      </w:pPr>
      <w:r>
        <w:rPr>
          <w:rFonts w:cs="Times New Roman" w:ascii="Times New Roman" w:hAnsi="Times New Roman"/>
          <w:sz w:val="24"/>
        </w:rPr>
        <w:t>LiveLink—Document storage/retention</w:t>
      </w:r>
    </w:p>
    <w:p>
      <w:pPr>
        <w:pStyle w:val="Normal"/>
        <w:numPr>
          <w:ilvl w:val="0"/>
          <w:numId w:val="15"/>
        </w:numPr>
        <w:rPr>
          <w:rFonts w:ascii="Times New Roman" w:hAnsi="Times New Roman" w:cs="Times New Roman"/>
          <w:sz w:val="24"/>
        </w:rPr>
      </w:pPr>
      <w:r>
        <w:rPr>
          <w:rFonts w:cs="Times New Roman" w:ascii="Times New Roman" w:hAnsi="Times New Roman"/>
          <w:sz w:val="24"/>
        </w:rPr>
        <w:t>OFTI/Re-Box Potential Dispute</w:t>
      </w:r>
    </w:p>
    <w:p>
      <w:pPr>
        <w:pStyle w:val="BodyText"/>
        <w:widowControl/>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r>
    </w:p>
    <w:p>
      <w:pPr>
        <w:pStyle w:val="Heading1"/>
        <w:ind w:end="-540"/>
        <w:jc w:val="center"/>
        <w:rPr>
          <w:rFonts w:ascii="Times New Roman" w:hAnsi="Times New Roman" w:cs="Times New Roman"/>
          <w:bCs/>
          <w:sz w:val="24"/>
        </w:rPr>
      </w:pPr>
      <w:r>
        <w:rPr>
          <w:rFonts w:cs="Times New Roman"/>
          <w:bCs/>
          <w:sz w:val="24"/>
        </w:rPr>
      </w:r>
    </w:p>
    <w:p>
      <w:pPr>
        <w:pStyle w:val="Heading1"/>
        <w:ind w:hanging="720" w:end="-540"/>
        <w:rPr>
          <w:bCs/>
          <w:sz w:val="24"/>
          <w:u w:val="none"/>
        </w:rPr>
      </w:pPr>
      <w:r>
        <w:rPr>
          <w:bCs/>
          <w:sz w:val="24"/>
          <w:u w:val="none"/>
        </w:rPr>
        <w:t>Enron Global Assets</w:t>
      </w:r>
    </w:p>
    <w:p>
      <w:pPr>
        <w:pStyle w:val="Heading1"/>
        <w:ind w:end="-540"/>
        <w:rPr>
          <w:b w:val="false"/>
          <w:bCs/>
          <w:sz w:val="24"/>
          <w:u w:val="none"/>
        </w:rPr>
      </w:pPr>
      <w:r>
        <w:rPr>
          <w:b w:val="false"/>
          <w:bCs/>
          <w:sz w:val="24"/>
          <w:u w:val="none"/>
        </w:rPr>
      </w:r>
    </w:p>
    <w:p>
      <w:pPr>
        <w:pStyle w:val="Heading1"/>
        <w:numPr>
          <w:ilvl w:val="0"/>
          <w:numId w:val="28"/>
        </w:numPr>
        <w:ind w:hanging="720" w:start="720" w:end="-540"/>
        <w:rPr>
          <w:b w:val="false"/>
          <w:sz w:val="24"/>
          <w:u w:val="none"/>
        </w:rPr>
      </w:pPr>
      <w:r>
        <w:rPr>
          <w:b w:val="false"/>
          <w:sz w:val="24"/>
          <w:u w:val="none"/>
        </w:rPr>
        <w:t>Major EGA Initiatives (Bruce Lundstrom and Bill Krenz)</w:t>
      </w:r>
    </w:p>
    <w:p>
      <w:pPr>
        <w:pStyle w:val="Heading1"/>
        <w:ind w:end="-540"/>
        <w:rPr>
          <w:b w:val="false"/>
          <w:sz w:val="24"/>
          <w:u w:val="none"/>
        </w:rPr>
      </w:pPr>
      <w:r>
        <w:rPr>
          <w:b w:val="false"/>
          <w:sz w:val="24"/>
          <w:u w:val="none"/>
        </w:rPr>
      </w:r>
    </w:p>
    <w:p>
      <w:pPr>
        <w:pStyle w:val="BodyText"/>
        <w:ind w:hanging="720" w:start="720" w:end="-540"/>
        <w:rPr>
          <w:rFonts w:ascii="Times New Roman" w:hAnsi="Times New Roman" w:cs="Times New Roman"/>
          <w:sz w:val="24"/>
        </w:rPr>
      </w:pPr>
      <w:r>
        <w:rPr>
          <w:rFonts w:cs="Times New Roman" w:ascii="Times New Roman" w:hAnsi="Times New Roman"/>
          <w:sz w:val="24"/>
        </w:rPr>
        <w:tab/>
        <w:t>We recently executed a confidentiality agreement with AES.  AES will be looking at a number of projects in Enron Global Assets.  We anticipate that we will begin supplying information to AES the third week of April.</w:t>
      </w:r>
    </w:p>
    <w:p>
      <w:pPr>
        <w:pStyle w:val="Normal"/>
        <w:ind w:end="-540"/>
        <w:rPr>
          <w:rFonts w:ascii="Times New Roman" w:hAnsi="Times New Roman" w:cs="Times New Roman"/>
          <w:sz w:val="24"/>
        </w:rPr>
      </w:pPr>
      <w:r>
        <w:rPr>
          <w:rFonts w:cs="Times New Roman" w:ascii="Times New Roman" w:hAnsi="Times New Roman"/>
          <w:sz w:val="24"/>
        </w:rPr>
      </w:r>
    </w:p>
    <w:p>
      <w:pPr>
        <w:pStyle w:val="BodyText"/>
        <w:numPr>
          <w:ilvl w:val="0"/>
          <w:numId w:val="28"/>
        </w:numPr>
        <w:tabs>
          <w:tab w:val="clear" w:pos="720"/>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sz w:val="24"/>
        </w:rPr>
        <w:t>Hainan (Bill Krenz)</w:t>
      </w:r>
    </w:p>
    <w:p>
      <w:pPr>
        <w:pStyle w:val="BodyText"/>
        <w:tabs>
          <w:tab w:val="left" w:pos="720" w:leader="none"/>
          <w:tab w:val="left" w:pos="1440" w:leader="none"/>
          <w:tab w:val="left" w:pos="2160" w:leader="none"/>
          <w:tab w:val="left" w:pos="7740" w:leader="none"/>
          <w:tab w:val="left" w:pos="8370" w:leader="none"/>
        </w:tabs>
        <w:ind w:start="720" w:end="-540"/>
        <w:rPr>
          <w:rFonts w:ascii="Times New Roman" w:hAnsi="Times New Roman" w:cs="Times New Roman"/>
          <w:sz w:val="24"/>
        </w:rPr>
      </w:pPr>
      <w:r>
        <w:rPr>
          <w:rFonts w:cs="Times New Roman" w:ascii="Times New Roman" w:hAnsi="Times New Roman"/>
          <w:sz w:val="24"/>
        </w:rPr>
        <w:t>Hainan Island Power Plant Settlement</w:t>
      </w:r>
    </w:p>
    <w:p>
      <w:pPr>
        <w:pStyle w:val="BodyText"/>
        <w:tabs>
          <w:tab w:val="clear" w:pos="720"/>
          <w:tab w:val="left" w:pos="7740" w:leader="none"/>
          <w:tab w:val="left" w:pos="8370" w:leader="none"/>
        </w:tabs>
        <w:ind w:end="-540"/>
        <w:rPr>
          <w:rFonts w:ascii="Times New Roman" w:hAnsi="Times New Roman" w:cs="Times New Roman"/>
          <w:sz w:val="24"/>
        </w:rPr>
      </w:pPr>
      <w:r>
        <w:rPr>
          <w:rFonts w:cs="Times New Roman" w:ascii="Times New Roman" w:hAnsi="Times New Roman"/>
          <w:sz w:val="24"/>
        </w:rPr>
      </w:r>
    </w:p>
    <w:p>
      <w:pPr>
        <w:pStyle w:val="BodyText"/>
        <w:ind w:start="720" w:end="-540"/>
        <w:rPr>
          <w:rFonts w:ascii="Times New Roman" w:hAnsi="Times New Roman" w:cs="Times New Roman"/>
          <w:sz w:val="24"/>
        </w:rPr>
      </w:pPr>
      <w:r>
        <w:rPr>
          <w:rFonts w:cs="Times New Roman" w:ascii="Times New Roman" w:hAnsi="Times New Roman"/>
          <w:sz w:val="24"/>
        </w:rPr>
        <w:t xml:space="preserve">The sale of the Hainan Qinglan Power Plant by HMPC to Hainan Province Electric Power Co., Ltd. (HEPCO) pursuant to the PPC Termination Agreement was completed on April 6, 2001, at which time HMPC received payment in full from HEPCO under the PPC Termination Agreement.  HMPC now has the RMB equivalent of approximately US$ 156 million in a bank account in Haikou.  The process (which may be somewhat difficult due to the manner in which HMPC was financed) is underway with Chinese authorities regarding the conversion of those funds to US dollars and the repatriation of those funds back to the US.  The process of liquidating HMPC is anticipated to commence shortly.   </w:t>
      </w:r>
    </w:p>
    <w:p>
      <w:pPr>
        <w:pStyle w:val="BodyText"/>
        <w:tabs>
          <w:tab w:val="left" w:pos="720" w:leader="none"/>
        </w:tabs>
        <w:ind w:end="-540"/>
        <w:rPr>
          <w:rFonts w:ascii="Times New Roman" w:hAnsi="Times New Roman" w:cs="Times New Roman"/>
          <w:sz w:val="24"/>
        </w:rPr>
      </w:pPr>
      <w:r>
        <w:rPr>
          <w:rFonts w:cs="Times New Roman" w:ascii="Times New Roman" w:hAnsi="Times New Roman"/>
          <w:sz w:val="24"/>
        </w:rPr>
      </w:r>
    </w:p>
    <w:p>
      <w:pPr>
        <w:pStyle w:val="Heading1"/>
        <w:tabs>
          <w:tab w:val="left" w:pos="0" w:leader="none"/>
          <w:tab w:val="left" w:pos="720" w:leader="none"/>
          <w:tab w:val="left" w:pos="1080" w:leader="none"/>
          <w:tab w:val="left" w:pos="1440" w:leader="none"/>
          <w:tab w:val="left" w:pos="1800" w:leader="none"/>
          <w:tab w:val="left" w:pos="5106" w:leader="none"/>
          <w:tab w:val="left" w:pos="7254" w:leader="none"/>
        </w:tabs>
        <w:ind w:start="0" w:end="-540"/>
        <w:rPr>
          <w:b w:val="false"/>
          <w:sz w:val="24"/>
          <w:u w:val="none"/>
        </w:rPr>
      </w:pPr>
      <w:r>
        <w:rPr>
          <w:b w:val="false"/>
          <w:sz w:val="24"/>
          <w:u w:val="none"/>
        </w:rPr>
        <w:t>III.</w:t>
        <w:tab/>
        <w:t>Enron Nigeria Power Holding Limited  (Yao Apasu)</w:t>
      </w:r>
    </w:p>
    <w:p>
      <w:pPr>
        <w:pStyle w:val="Normal"/>
        <w:ind w:firstLine="720" w:end="-540"/>
        <w:rPr>
          <w:rFonts w:ascii="Times New Roman" w:hAnsi="Times New Roman" w:cs="Times New Roman"/>
          <w:sz w:val="24"/>
        </w:rPr>
      </w:pPr>
      <w:r>
        <w:rPr>
          <w:rFonts w:cs="Times New Roman" w:ascii="Times New Roman" w:hAnsi="Times New Roman"/>
          <w:sz w:val="24"/>
        </w:rPr>
        <w:t>548 MW gas-fired plant in Lagos, Nigeria</w:t>
      </w:r>
    </w:p>
    <w:p>
      <w:pPr>
        <w:pStyle w:val="Normal"/>
        <w:ind w:firstLine="720" w:end="-540"/>
        <w:rPr>
          <w:rFonts w:ascii="Times New Roman" w:hAnsi="Times New Roman" w:cs="Times New Roman"/>
          <w:sz w:val="24"/>
        </w:rPr>
      </w:pPr>
      <w:r>
        <w:rPr>
          <w:rFonts w:cs="Times New Roman" w:ascii="Times New Roman" w:hAnsi="Times New Roman"/>
          <w:sz w:val="24"/>
        </w:rPr>
        <w:t>280 km Pipeline from the Niger Delta to Lagos</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hanging="720" w:start="720" w:end="-540"/>
        <w:rPr>
          <w:rFonts w:ascii="Times New Roman" w:hAnsi="Times New Roman" w:cs="Times New Roman"/>
          <w:sz w:val="24"/>
        </w:rPr>
      </w:pPr>
      <w:r>
        <w:rPr>
          <w:rFonts w:cs="Times New Roman" w:ascii="Times New Roman" w:hAnsi="Times New Roman"/>
          <w:sz w:val="24"/>
        </w:rPr>
        <w:tab/>
        <w:t>Meetings in Abuja and Lagos are planned for the first week of May.</w:t>
      </w:r>
    </w:p>
    <w:p>
      <w:pPr>
        <w:pStyle w:val="Normal"/>
        <w:ind w:end="-540"/>
        <w:rPr>
          <w:rFonts w:ascii="Times New Roman" w:hAnsi="Times New Roman" w:cs="Times New Roman"/>
          <w:sz w:val="24"/>
        </w:rPr>
      </w:pPr>
      <w:r>
        <w:rPr>
          <w:rFonts w:cs="Times New Roman" w:ascii="Times New Roman" w:hAnsi="Times New Roman"/>
          <w:sz w:val="24"/>
        </w:rPr>
      </w:r>
    </w:p>
    <w:p>
      <w:pPr>
        <w:pStyle w:val="Normal"/>
        <w:keepNext w:val="true"/>
        <w:keepLines/>
        <w:ind w:end="-540"/>
        <w:rPr>
          <w:rFonts w:ascii="Times New Roman" w:hAnsi="Times New Roman" w:cs="Times New Roman"/>
          <w:sz w:val="24"/>
        </w:rPr>
      </w:pPr>
      <w:r>
        <w:rPr>
          <w:rFonts w:cs="Times New Roman" w:ascii="Times New Roman" w:hAnsi="Times New Roman"/>
          <w:sz w:val="24"/>
        </w:rPr>
        <w:t>IV.</w:t>
        <w:tab/>
        <w:t>Dominican Republic (Yao Apasu) Smith Enron Cogeneration Limited Partnership (SECLP)</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BodyText"/>
        <w:numPr>
          <w:ilvl w:val="0"/>
          <w:numId w:val="13"/>
        </w:numPr>
        <w:ind w:hanging="720" w:start="1440" w:end="-540"/>
        <w:rPr>
          <w:rFonts w:ascii="Times New Roman" w:hAnsi="Times New Roman" w:cs="Times New Roman"/>
          <w:sz w:val="24"/>
        </w:rPr>
      </w:pPr>
      <w:r>
        <w:rPr>
          <w:rFonts w:cs="Times New Roman" w:ascii="Times New Roman" w:hAnsi="Times New Roman"/>
          <w:sz w:val="24"/>
          <w:u w:val="single"/>
        </w:rPr>
        <w:t>Transfer of PPA</w:t>
      </w:r>
      <w:r>
        <w:rPr>
          <w:rFonts w:cs="Times New Roman" w:ascii="Times New Roman" w:hAnsi="Times New Roman"/>
          <w:sz w:val="24"/>
        </w:rPr>
        <w:t>. We are continuing the review and analysis of the project documents (i) for the remedies and damages available to/against SECLP upon the occurrence of an event of default, and (ii) to provide the legal basis for facilitating the transfer of the government’s obligations under the PPA to Union Fenosa.</w:t>
      </w:r>
    </w:p>
    <w:p>
      <w:pPr>
        <w:pStyle w:val="BodyTextIndent2"/>
        <w:ind w:hanging="0" w:end="-540"/>
        <w:rPr>
          <w:rFonts w:ascii="Times New Roman" w:hAnsi="Times New Roman" w:cs="Times New Roman"/>
          <w:sz w:val="24"/>
        </w:rPr>
      </w:pPr>
      <w:r>
        <w:rPr>
          <w:rFonts w:cs="Times New Roman"/>
          <w:sz w:val="24"/>
        </w:rPr>
      </w:r>
    </w:p>
    <w:p>
      <w:pPr>
        <w:pStyle w:val="BodyTextIndent2"/>
        <w:numPr>
          <w:ilvl w:val="0"/>
          <w:numId w:val="13"/>
        </w:numPr>
        <w:ind w:hanging="720" w:start="1440" w:end="-540"/>
        <w:rPr>
          <w:sz w:val="24"/>
        </w:rPr>
      </w:pPr>
      <w:r>
        <w:rPr>
          <w:sz w:val="24"/>
          <w:u w:val="single"/>
        </w:rPr>
        <w:t>Delinquent Accounts Receivable</w:t>
      </w:r>
      <w:r>
        <w:rPr>
          <w:sz w:val="24"/>
        </w:rPr>
        <w:t xml:space="preserve">.  Negotiations are currently going on with the government of the Dominican Republic to replenish the government guaranty letter of credit and to collect the past due receivables. The government claims to be unable to replenish the L/C before June. </w:t>
      </w:r>
    </w:p>
    <w:p>
      <w:pPr>
        <w:pStyle w:val="BodyTextIndent"/>
        <w:ind w:start="1440" w:end="-540"/>
        <w:rPr>
          <w:sz w:val="24"/>
        </w:rPr>
      </w:pPr>
      <w:r>
        <w:rPr>
          <w:sz w:val="24"/>
        </w:rPr>
      </w:r>
    </w:p>
    <w:p>
      <w:pPr>
        <w:pStyle w:val="BodyTextIndent3"/>
        <w:numPr>
          <w:ilvl w:val="0"/>
          <w:numId w:val="13"/>
        </w:numPr>
        <w:ind w:hanging="720" w:start="1440" w:end="-540"/>
        <w:rPr>
          <w:sz w:val="24"/>
        </w:rPr>
      </w:pPr>
      <w:r>
        <w:rPr>
          <w:sz w:val="24"/>
          <w:u w:val="single"/>
        </w:rPr>
        <w:t>Boilers</w:t>
      </w:r>
      <w:r>
        <w:rPr>
          <w:sz w:val="24"/>
        </w:rPr>
        <w:t>. SECLP is negotiating with Raytheon and Lexington to assign the slagging related insurance claim to them for one lump sum of $4.5 million. They want to pay SECLP “half-now-half-later”.</w:t>
      </w:r>
    </w:p>
    <w:p>
      <w:pPr>
        <w:pStyle w:val="Normal"/>
        <w:ind w:end="-540"/>
        <w:rPr>
          <w:rFonts w:ascii="Times New Roman" w:hAnsi="Times New Roman" w:cs="Times New Roman"/>
          <w:sz w:val="24"/>
        </w:rPr>
      </w:pPr>
      <w:r>
        <w:rPr>
          <w:rFonts w:cs="Times New Roman" w:ascii="Times New Roman" w:hAnsi="Times New Roman"/>
          <w:sz w:val="24"/>
        </w:rPr>
      </w:r>
    </w:p>
    <w:p>
      <w:pPr>
        <w:pStyle w:val="BodyTextIndent2"/>
        <w:numPr>
          <w:ilvl w:val="0"/>
          <w:numId w:val="13"/>
        </w:numPr>
        <w:ind w:hanging="720" w:start="1440" w:end="-540"/>
        <w:rPr>
          <w:sz w:val="24"/>
        </w:rPr>
      </w:pPr>
      <w:r>
        <w:rPr>
          <w:sz w:val="24"/>
          <w:u w:val="single"/>
        </w:rPr>
        <w:t>Steam Turbines</w:t>
      </w:r>
      <w:r>
        <w:rPr>
          <w:sz w:val="24"/>
        </w:rPr>
        <w:t xml:space="preserve">.  Negotiations are continuing with the insurance company to recover the lost revenues covered by business interruption insurance, which after the 45-day deductible is estimated to be $4.5MM. A meeting with HSB is planned for the week of April 18. </w:t>
      </w:r>
    </w:p>
    <w:p>
      <w:pPr>
        <w:pStyle w:val="BodyTextIndent2"/>
        <w:ind w:hanging="0" w:start="0" w:end="-540"/>
        <w:rPr>
          <w:sz w:val="24"/>
        </w:rPr>
      </w:pPr>
      <w:r>
        <w:rPr>
          <w:sz w:val="24"/>
        </w:rPr>
      </w:r>
    </w:p>
    <w:p>
      <w:pPr>
        <w:pStyle w:val="BodyText"/>
        <w:numPr>
          <w:ilvl w:val="0"/>
          <w:numId w:val="17"/>
        </w:numPr>
        <w:tabs>
          <w:tab w:val="clear" w:pos="720"/>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sz w:val="24"/>
        </w:rPr>
        <w:t>Jamaica (Yao Apasu)</w:t>
      </w:r>
    </w:p>
    <w:p>
      <w:pPr>
        <w:pStyle w:val="BodyText"/>
        <w:tabs>
          <w:tab w:val="left" w:pos="720" w:leader="none"/>
          <w:tab w:val="left" w:pos="1440" w:leader="none"/>
          <w:tab w:val="left" w:pos="2160" w:leader="none"/>
          <w:tab w:val="left" w:pos="7740" w:leader="none"/>
          <w:tab w:val="left" w:pos="8370" w:leader="none"/>
        </w:tabs>
        <w:ind w:start="720" w:end="-540"/>
        <w:rPr>
          <w:rFonts w:ascii="Times New Roman" w:hAnsi="Times New Roman" w:cs="Times New Roman"/>
          <w:sz w:val="24"/>
        </w:rPr>
      </w:pPr>
      <w:r>
        <w:rPr>
          <w:rFonts w:cs="Times New Roman" w:ascii="Times New Roman" w:hAnsi="Times New Roman"/>
          <w:sz w:val="24"/>
          <w:u w:val="single"/>
        </w:rPr>
        <w:t>ILG</w:t>
      </w:r>
    </w:p>
    <w:p>
      <w:pPr>
        <w:pStyle w:val="BodyText"/>
        <w:tabs>
          <w:tab w:val="left" w:pos="720" w:leader="none"/>
          <w:tab w:val="left" w:pos="1440" w:leader="none"/>
          <w:tab w:val="left" w:pos="2160" w:leader="none"/>
          <w:tab w:val="left" w:pos="7740" w:leader="none"/>
          <w:tab w:val="left" w:pos="8370" w:leader="none"/>
        </w:tabs>
        <w:ind w:end="-540"/>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sz w:val="24"/>
        </w:rPr>
        <w:tab/>
        <w:t xml:space="preserve">No update. </w:t>
      </w:r>
    </w:p>
    <w:p>
      <w:pPr>
        <w:pStyle w:val="BodyText"/>
        <w:tabs>
          <w:tab w:val="left" w:pos="720" w:leader="none"/>
          <w:tab w:val="left" w:pos="1440" w:leader="none"/>
          <w:tab w:val="left" w:pos="2160" w:leader="none"/>
          <w:tab w:val="left" w:pos="7740" w:leader="none"/>
          <w:tab w:val="left" w:pos="8370" w:leader="none"/>
        </w:tabs>
        <w:ind w:end="-540"/>
        <w:rPr>
          <w:rFonts w:ascii="Times New Roman" w:hAnsi="Times New Roman" w:cs="Times New Roman"/>
          <w:sz w:val="24"/>
        </w:rPr>
      </w:pPr>
      <w:r>
        <w:rPr>
          <w:rFonts w:cs="Times New Roman" w:ascii="Times New Roman" w:hAnsi="Times New Roman"/>
          <w:sz w:val="24"/>
        </w:rPr>
      </w:r>
    </w:p>
    <w:p>
      <w:pPr>
        <w:pStyle w:val="BodyText"/>
        <w:numPr>
          <w:ilvl w:val="0"/>
          <w:numId w:val="17"/>
        </w:numPr>
        <w:ind w:hanging="720" w:start="720" w:end="-540"/>
        <w:rPr>
          <w:rFonts w:ascii="Times New Roman" w:hAnsi="Times New Roman" w:cs="Times New Roman"/>
          <w:sz w:val="24"/>
        </w:rPr>
      </w:pPr>
      <w:r>
        <w:rPr>
          <w:rFonts w:cs="Times New Roman" w:ascii="Times New Roman" w:hAnsi="Times New Roman"/>
          <w:sz w:val="24"/>
        </w:rPr>
        <w:t>India (Robert Mathis and Paul Kraske)</w:t>
      </w:r>
    </w:p>
    <w:p>
      <w:pPr>
        <w:pStyle w:val="BodyText"/>
        <w:ind w:start="720" w:end="-540"/>
        <w:rPr>
          <w:rFonts w:ascii="Times New Roman" w:hAnsi="Times New Roman" w:cs="Times New Roman"/>
          <w:sz w:val="24"/>
        </w:rPr>
      </w:pPr>
      <w:r>
        <w:rPr>
          <w:rFonts w:cs="Times New Roman" w:ascii="Times New Roman" w:hAnsi="Times New Roman"/>
          <w:sz w:val="24"/>
        </w:rPr>
        <w:t>Dabhol Power Company</w:t>
      </w:r>
    </w:p>
    <w:p>
      <w:pPr>
        <w:pStyle w:val="Heading2"/>
        <w:rPr>
          <w:rFonts w:ascii="Times New Roman" w:hAnsi="Times New Roman" w:cs="Times New Roman"/>
          <w:sz w:val="24"/>
          <w:u w:val="none"/>
        </w:rPr>
      </w:pPr>
      <w:r>
        <w:rPr>
          <w:rFonts w:cs="Times New Roman"/>
          <w:sz w:val="24"/>
          <w:u w:val="none"/>
        </w:rPr>
      </w:r>
    </w:p>
    <w:p>
      <w:pPr>
        <w:pStyle w:val="Heading2"/>
        <w:tabs>
          <w:tab w:val="left" w:pos="1080" w:leader="none"/>
          <w:tab w:val="left" w:pos="1440" w:leader="none"/>
          <w:tab w:val="left" w:pos="1800" w:leader="none"/>
          <w:tab w:val="left" w:pos="2160" w:leader="none"/>
          <w:tab w:val="left" w:pos="5106" w:leader="none"/>
          <w:tab w:val="left" w:pos="7254" w:leader="none"/>
        </w:tabs>
        <w:ind w:hanging="360" w:start="1080" w:end="0"/>
        <w:jc w:val="both"/>
        <w:rPr>
          <w:sz w:val="24"/>
        </w:rPr>
      </w:pPr>
      <w:r>
        <w:rPr>
          <w:sz w:val="24"/>
          <w:u w:val="none"/>
        </w:rPr>
        <w:t>A.</w:t>
        <w:tab/>
        <w:t>Phase II Financing</w:t>
      </w:r>
    </w:p>
    <w:p>
      <w:pPr>
        <w:pStyle w:val="Normal"/>
        <w:tabs>
          <w:tab w:val="clear" w:pos="720"/>
          <w:tab w:val="left" w:pos="1080" w:leader="none"/>
        </w:tabs>
        <w:ind w:start="1080" w:end="0"/>
        <w:jc w:val="both"/>
        <w:rPr>
          <w:rFonts w:ascii="Times New Roman" w:hAnsi="Times New Roman" w:cs="Times New Roman"/>
          <w:sz w:val="24"/>
        </w:rPr>
      </w:pPr>
      <w:r>
        <w:rPr>
          <w:rFonts w:cs="Times New Roman" w:ascii="Times New Roman" w:hAnsi="Times New Roman"/>
          <w:sz w:val="24"/>
        </w:rPr>
        <w:t xml:space="preserve">The loan disbursement expected on March 13, 2001 has not been made to DPC from JBIC/MITI and OND. However, the Lenders have consented for disbursements to the extent of the Phase II Dollar Loan and the Phase II Rupee Loan / NCD debt servicing amounts. </w:t>
      </w:r>
    </w:p>
    <w:p>
      <w:pPr>
        <w:pStyle w:val="Normal"/>
        <w:jc w:val="both"/>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080" w:leader="none"/>
          <w:tab w:val="left" w:pos="1440" w:leader="none"/>
          <w:tab w:val="left" w:pos="1800" w:leader="none"/>
          <w:tab w:val="left" w:pos="2160" w:leader="none"/>
          <w:tab w:val="left" w:pos="5106" w:leader="none"/>
          <w:tab w:val="left" w:pos="7254" w:leader="none"/>
        </w:tabs>
        <w:jc w:val="both"/>
        <w:rPr/>
      </w:pPr>
      <w:r>
        <w:rPr>
          <w:b w:val="false"/>
          <w:bCs/>
          <w:sz w:val="24"/>
          <w:u w:val="none"/>
        </w:rPr>
        <w:t>B.</w:t>
        <w:tab/>
        <w:t>MSEB Payment Default and Status -</w:t>
      </w:r>
      <w:r>
        <w:rPr>
          <w:sz w:val="24"/>
          <w:u w:val="none"/>
        </w:rPr>
        <w:t xml:space="preserve"> </w:t>
      </w:r>
      <w:r>
        <w:rPr>
          <w:b w:val="false"/>
          <w:bCs/>
          <w:sz w:val="24"/>
          <w:u w:val="none"/>
        </w:rPr>
        <w:t>December 2000 Bill</w:t>
      </w:r>
    </w:p>
    <w:p>
      <w:pPr>
        <w:pStyle w:val="Normal"/>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sz w:val="24"/>
        </w:rPr>
        <w:tab/>
        <w:t>DPC has served (I) a Notice of Conciliation (ii) a Notice of Arbitration on the GOI owing to GOI’s refusal to honor its obligations under the GOI Guarantee relating to the December Bill. The GOI has elected to conciliate in accordance with their letter dated April 9, 2001.</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1080" w:end="0"/>
        <w:jc w:val="both"/>
        <w:rPr>
          <w:rFonts w:ascii="Times New Roman" w:hAnsi="Times New Roman" w:cs="Times New Roman"/>
          <w:sz w:val="24"/>
        </w:rPr>
      </w:pPr>
      <w:r>
        <w:rPr>
          <w:rFonts w:cs="Times New Roman" w:ascii="Times New Roman" w:hAnsi="Times New Roman"/>
          <w:sz w:val="24"/>
        </w:rPr>
        <w:t xml:space="preserve">The January 2001 bill, in the amount of Rs. Crores 127, is in dispute due to the MSEB’s claim of misdeclaration (discussed below). DPC invoked the GOM Guarantee for the admitted amounts of the January Bill on April 3, 2001. The GOM did not honor its obligations and consequently DPC invoked the GOI Guarantee for the January Bill on April 11, 2001. The GOI has 30 days to pay the amount demanded.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1080" w:end="0"/>
        <w:jc w:val="both"/>
        <w:rPr>
          <w:rFonts w:ascii="Times New Roman" w:hAnsi="Times New Roman" w:cs="Times New Roman"/>
          <w:sz w:val="24"/>
        </w:rPr>
      </w:pPr>
      <w:r>
        <w:rPr>
          <w:rFonts w:cs="Times New Roman" w:ascii="Times New Roman" w:hAnsi="Times New Roman"/>
          <w:sz w:val="24"/>
        </w:rPr>
        <w:t>The February 2001 bill in the amount of Rs. Crores 110 has been paid by MSEB on March 30, 2001, which payment was made under protest. The protest was not articulated but it appears to relate to the MSEB’s position that netting should occur for amounts due the MSEB under the misdeclaration claim.</w:t>
      </w:r>
    </w:p>
    <w:p>
      <w:pPr>
        <w:pStyle w:val="Normal"/>
        <w:jc w:val="both"/>
        <w:rPr>
          <w:rFonts w:ascii="Times New Roman" w:hAnsi="Times New Roman" w:cs="Times New Roman"/>
          <w:sz w:val="24"/>
        </w:rPr>
      </w:pPr>
      <w:r>
        <w:rPr>
          <w:rFonts w:cs="Times New Roman" w:ascii="Times New Roman" w:hAnsi="Times New Roman"/>
          <w:sz w:val="24"/>
        </w:rPr>
      </w:r>
    </w:p>
    <w:p>
      <w:pPr>
        <w:pStyle w:val="Heading5"/>
        <w:tabs>
          <w:tab w:val="clear" w:pos="5106"/>
          <w:tab w:val="clear" w:pos="7254"/>
          <w:tab w:val="left" w:pos="720" w:leader="none"/>
          <w:tab w:val="left" w:pos="1080" w:leader="none"/>
        </w:tabs>
        <w:ind w:firstLine="720" w:start="0" w:end="0"/>
        <w:rPr>
          <w:b w:val="false"/>
          <w:bCs w:val="false"/>
          <w:sz w:val="24"/>
          <w:u w:val="none"/>
        </w:rPr>
      </w:pPr>
      <w:r>
        <w:rPr>
          <w:b w:val="false"/>
          <w:bCs w:val="false"/>
          <w:sz w:val="24"/>
          <w:u w:val="none"/>
        </w:rPr>
        <w:t>C.</w:t>
        <w:tab/>
        <w:t>Outstanding Interest Amounts</w:t>
      </w:r>
    </w:p>
    <w:p>
      <w:pPr>
        <w:pStyle w:val="Normal"/>
        <w:ind w:start="1080" w:end="0"/>
        <w:jc w:val="both"/>
        <w:rPr>
          <w:rFonts w:ascii="Times New Roman" w:hAnsi="Times New Roman" w:cs="Times New Roman"/>
          <w:sz w:val="24"/>
        </w:rPr>
      </w:pPr>
      <w:r>
        <w:rPr>
          <w:rFonts w:cs="Times New Roman" w:ascii="Times New Roman" w:hAnsi="Times New Roman"/>
          <w:sz w:val="24"/>
        </w:rPr>
        <w:t>DPC invoked the GOM Guarantee for the outstanding interest amounts on April 3, 2001. The GOM did not honor its obligations and consequently DPC invoked the GOI Guarantee for these outstanding interest amounts on April 11, 2001. The GOI has 30 days to pay the amount demanded.</w:t>
      </w:r>
    </w:p>
    <w:p>
      <w:pPr>
        <w:pStyle w:val="Normal"/>
        <w:jc w:val="both"/>
        <w:rPr>
          <w:rFonts w:ascii="Times New Roman" w:hAnsi="Times New Roman" w:cs="Times New Roman"/>
          <w:sz w:val="24"/>
        </w:rPr>
      </w:pPr>
      <w:r>
        <w:rPr>
          <w:rFonts w:cs="Times New Roman" w:ascii="Times New Roman" w:hAnsi="Times New Roman"/>
          <w:sz w:val="24"/>
        </w:rPr>
      </w:r>
    </w:p>
    <w:p>
      <w:pPr>
        <w:pStyle w:val="Heading1"/>
        <w:tabs>
          <w:tab w:val="clear" w:pos="5106"/>
          <w:tab w:val="clear" w:pos="7254"/>
          <w:tab w:val="left" w:pos="720" w:leader="none"/>
          <w:tab w:val="left" w:pos="1080" w:leader="none"/>
          <w:tab w:val="left" w:pos="1440" w:leader="none"/>
        </w:tabs>
        <w:jc w:val="both"/>
        <w:rPr>
          <w:b w:val="false"/>
          <w:sz w:val="24"/>
          <w:u w:val="none"/>
        </w:rPr>
      </w:pPr>
      <w:r>
        <w:rPr>
          <w:b w:val="false"/>
          <w:sz w:val="24"/>
          <w:u w:val="none"/>
        </w:rPr>
        <w:t>D.</w:t>
        <w:tab/>
        <w:t>Dispute Resolution and Demands</w:t>
      </w:r>
    </w:p>
    <w:p>
      <w:pPr>
        <w:pStyle w:val="Heading1"/>
        <w:jc w:val="both"/>
        <w:rPr>
          <w:b w:val="false"/>
          <w:sz w:val="24"/>
          <w:u w:val="none"/>
        </w:rPr>
      </w:pPr>
      <w:r>
        <w:rPr>
          <w:b w:val="false"/>
          <w:sz w:val="24"/>
          <w:u w:val="none"/>
        </w:rPr>
      </w:r>
    </w:p>
    <w:p>
      <w:pPr>
        <w:pStyle w:val="Heading1"/>
        <w:tabs>
          <w:tab w:val="clear" w:pos="720"/>
          <w:tab w:val="left" w:pos="1350" w:leader="none"/>
          <w:tab w:val="left" w:pos="5106" w:leader="none"/>
          <w:tab w:val="left" w:pos="7254" w:leader="none"/>
        </w:tabs>
        <w:ind w:start="1080" w:end="0"/>
        <w:jc w:val="both"/>
        <w:rPr>
          <w:b w:val="false"/>
          <w:sz w:val="24"/>
        </w:rPr>
      </w:pPr>
      <w:r>
        <w:rPr>
          <w:b w:val="false"/>
          <w:sz w:val="24"/>
        </w:rPr>
        <w:t>Panel Meetings</w:t>
      </w:r>
    </w:p>
    <w:p>
      <w:pPr>
        <w:pStyle w:val="BodyText2"/>
        <w:ind w:hanging="0" w:end="0"/>
        <w:rPr>
          <w:sz w:val="24"/>
        </w:rPr>
      </w:pPr>
      <w:r>
        <w:rPr>
          <w:sz w:val="24"/>
        </w:rPr>
        <w:t>A second meeting of the dispute resolution panel convened under the PPA Clause 20.2 meet and discuss letter delivered by DPC to MSEB was held on March 16, 2001.  Each party reiterated its stand on the issue; however, no consensus was reached.</w:t>
      </w:r>
    </w:p>
    <w:p>
      <w:pPr>
        <w:pStyle w:val="Normal"/>
        <w:jc w:val="both"/>
        <w:rPr>
          <w:rFonts w:ascii="Times New Roman" w:hAnsi="Times New Roman" w:cs="Times New Roman"/>
          <w:sz w:val="24"/>
        </w:rPr>
      </w:pPr>
      <w:r>
        <w:rPr>
          <w:rFonts w:cs="Times New Roman" w:ascii="Times New Roman" w:hAnsi="Times New Roman"/>
          <w:sz w:val="24"/>
        </w:rPr>
      </w:r>
    </w:p>
    <w:p>
      <w:pPr>
        <w:pStyle w:val="Heading3"/>
        <w:tabs>
          <w:tab w:val="clear" w:pos="1344"/>
          <w:tab w:val="clear" w:pos="5106"/>
          <w:tab w:val="clear" w:pos="7254"/>
        </w:tabs>
        <w:ind w:firstLine="360" w:start="720" w:end="0"/>
        <w:jc w:val="start"/>
        <w:rPr>
          <w:b w:val="false"/>
          <w:bCs w:val="false"/>
          <w:sz w:val="24"/>
          <w:u w:val="single"/>
        </w:rPr>
      </w:pPr>
      <w:r>
        <w:rPr>
          <w:b w:val="false"/>
          <w:bCs w:val="false"/>
          <w:sz w:val="24"/>
          <w:u w:val="single"/>
        </w:rPr>
        <w:t>GOI Notification</w:t>
      </w:r>
    </w:p>
    <w:p>
      <w:pPr>
        <w:pStyle w:val="Normal"/>
        <w:ind w:start="1080" w:end="0"/>
        <w:jc w:val="both"/>
        <w:rPr>
          <w:rFonts w:ascii="Times New Roman" w:hAnsi="Times New Roman" w:cs="Times New Roman"/>
          <w:sz w:val="24"/>
        </w:rPr>
      </w:pPr>
      <w:r>
        <w:rPr>
          <w:rFonts w:cs="Times New Roman" w:ascii="Times New Roman" w:hAnsi="Times New Roman"/>
          <w:sz w:val="24"/>
        </w:rPr>
        <w:t xml:space="preserve">On Thursday, March 8, 2001, DPC invoked the GOI guarantee for payment of the remainder of the December bill in the amount of Rs.102 Crs. (MSEB had previously paid an amount of Rs. 51 Crs.).  Subsequently, MSEB and GOM actively worked to persuade GOI to refuse payment of the December amount under the GOI counter guarantee, as a part of MSEB’s argument that the amount should be netted against amounts allegedly due from DPC pursuant to the January misdeclaration claim (see the misdeclaration discussion below).  On March 31, 2001, DPC received a letter from GOI, indicating that GOI would not pay the December amount. The GOI consider the December amount to be disputed by MSEB and GOM in connection with the misdeclaration claim, and, therefore, the amounts were not validly due and that the MSEB/DPC dispute was required to be resolved in advance of the GOI incurring its payment obligation. DPC had provided the GOI, in advance of its recent letter, two legal opinions from international and local Indian counsel, which support DPC’s legal position. </w:t>
      </w:r>
    </w:p>
    <w:p>
      <w:pPr>
        <w:pStyle w:val="Normal"/>
        <w:jc w:val="both"/>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080" w:leader="none"/>
          <w:tab w:val="left" w:pos="5106" w:leader="none"/>
          <w:tab w:val="left" w:pos="7254" w:leader="none"/>
        </w:tabs>
        <w:jc w:val="both"/>
        <w:rPr>
          <w:b w:val="false"/>
          <w:sz w:val="24"/>
          <w:u w:val="none"/>
        </w:rPr>
      </w:pPr>
      <w:r>
        <w:rPr>
          <w:b w:val="false"/>
          <w:sz w:val="24"/>
          <w:u w:val="none"/>
        </w:rPr>
        <w:t>E.</w:t>
        <w:tab/>
        <w:t>Environmental</w:t>
      </w:r>
    </w:p>
    <w:p>
      <w:pPr>
        <w:pStyle w:val="Normal"/>
        <w:jc w:val="both"/>
        <w:rPr>
          <w:rFonts w:ascii="Times New Roman" w:hAnsi="Times New Roman" w:cs="Times New Roman"/>
          <w:b/>
          <w:sz w:val="24"/>
          <w:u w:val="none"/>
        </w:rPr>
      </w:pPr>
      <w:r>
        <w:rPr>
          <w:rFonts w:cs="Times New Roman" w:ascii="Times New Roman" w:hAnsi="Times New Roman"/>
          <w:b/>
          <w:sz w:val="24"/>
          <w:u w:val="none"/>
        </w:rPr>
      </w:r>
    </w:p>
    <w:p>
      <w:pPr>
        <w:pStyle w:val="Normal"/>
        <w:ind w:firstLine="360" w:start="720" w:end="0"/>
        <w:jc w:val="both"/>
        <w:rPr>
          <w:rFonts w:ascii="Times New Roman" w:hAnsi="Times New Roman" w:cs="Times New Roman"/>
          <w:sz w:val="24"/>
          <w:u w:val="single"/>
        </w:rPr>
      </w:pPr>
      <w:r>
        <w:rPr>
          <w:rFonts w:cs="Times New Roman" w:ascii="Times New Roman" w:hAnsi="Times New Roman"/>
          <w:sz w:val="24"/>
          <w:u w:val="single"/>
        </w:rPr>
        <w:t>Consent to Operate (Phase I Operations)</w:t>
      </w:r>
    </w:p>
    <w:p>
      <w:pPr>
        <w:pStyle w:val="Normal"/>
        <w:ind w:start="1080" w:end="0"/>
        <w:jc w:val="both"/>
        <w:rPr>
          <w:rFonts w:ascii="Times New Roman" w:hAnsi="Times New Roman" w:cs="Times New Roman"/>
          <w:sz w:val="24"/>
        </w:rPr>
      </w:pPr>
      <w:r>
        <w:rPr>
          <w:rFonts w:cs="Times New Roman" w:ascii="Times New Roman" w:hAnsi="Times New Roman"/>
          <w:sz w:val="24"/>
        </w:rPr>
        <w:t>On March 31, 2001, the Consent to Operate Phase I expired. Prior to the expiration date, DPC submitted an application to the Maharashtra Pollution Control Board (MPCB) to issue a renewal of the consent for an additional five years. Although there had been a prior indication to DPC that the renewal would not be given, on March 31, 2001, MPCB issued a clarification that the Consent to Operate is “under scrutiny of the Board”, but that DPC may treat it as valid until the Board communicates a decision on the application for renewal.</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360" w:start="720" w:end="0"/>
        <w:jc w:val="both"/>
        <w:rPr>
          <w:rFonts w:ascii="Times New Roman" w:hAnsi="Times New Roman" w:cs="Times New Roman"/>
          <w:sz w:val="24"/>
          <w:u w:val="single"/>
        </w:rPr>
      </w:pPr>
      <w:r>
        <w:rPr>
          <w:rFonts w:cs="Times New Roman" w:ascii="Times New Roman" w:hAnsi="Times New Roman"/>
          <w:sz w:val="24"/>
          <w:u w:val="single"/>
        </w:rPr>
        <w:t>Permission for Trial Runs (Phase II Testing)</w:t>
      </w:r>
    </w:p>
    <w:p>
      <w:pPr>
        <w:pStyle w:val="BodyText2"/>
        <w:ind w:hanging="0" w:end="0"/>
        <w:rPr>
          <w:sz w:val="24"/>
        </w:rPr>
      </w:pPr>
      <w:r>
        <w:rPr>
          <w:sz w:val="24"/>
        </w:rPr>
        <w:t xml:space="preserve">MPCB had served a notice on DPC directing DPC to stop generation of electricity from the Phase II Blocks until a "Consent to Operate" has been obtained by DPC. As a result of MPCB's notice, DPC temporarily suspended testing of Phase II of the Power Plant. DPC's position was that it has been merely testing and commissioning Phase II of the Power Plant and that such testing and commissioning could not be classified as being "commercial generation of electricity". On April 4, 2001, DPC received permission from MPCB to resume testing for Phase II subject to compliance with certain conditions.  The permission is temporary until June 30, 2001 and it includes various conditions, which DPC is evaluating. </w:t>
      </w:r>
    </w:p>
    <w:p>
      <w:pPr>
        <w:pStyle w:val="Normal"/>
        <w:ind w:start="1080" w:end="0"/>
        <w:jc w:val="both"/>
        <w:rPr>
          <w:rFonts w:ascii="Times New Roman" w:hAnsi="Times New Roman" w:cs="Times New Roman"/>
          <w:sz w:val="24"/>
        </w:rPr>
      </w:pPr>
      <w:r>
        <w:rPr>
          <w:rFonts w:cs="Times New Roman" w:ascii="Times New Roman" w:hAnsi="Times New Roman"/>
          <w:sz w:val="24"/>
        </w:rPr>
      </w:r>
    </w:p>
    <w:p>
      <w:pPr>
        <w:pStyle w:val="Heading4"/>
        <w:ind w:firstLine="360" w:start="720" w:end="0"/>
        <w:rPr>
          <w:rFonts w:ascii="Times New Roman" w:hAnsi="Times New Roman" w:cs="Times New Roman"/>
          <w:i w:val="false"/>
          <w:i w:val="false"/>
          <w:iCs/>
          <w:sz w:val="24"/>
        </w:rPr>
      </w:pPr>
      <w:r>
        <w:rPr>
          <w:rFonts w:cs="Times New Roman" w:ascii="Times New Roman" w:hAnsi="Times New Roman"/>
          <w:i w:val="false"/>
          <w:iCs/>
          <w:sz w:val="24"/>
        </w:rPr>
        <w:t>Fuel Filter Skid Malfunction</w:t>
      </w:r>
    </w:p>
    <w:p>
      <w:pPr>
        <w:pStyle w:val="Normal"/>
        <w:ind w:start="1080" w:end="0"/>
        <w:jc w:val="both"/>
        <w:rPr>
          <w:rFonts w:ascii="Times New Roman" w:hAnsi="Times New Roman" w:cs="Times New Roman"/>
          <w:sz w:val="24"/>
        </w:rPr>
      </w:pPr>
      <w:r>
        <w:rPr>
          <w:rFonts w:cs="Times New Roman" w:ascii="Times New Roman" w:hAnsi="Times New Roman"/>
          <w:sz w:val="24"/>
        </w:rPr>
        <w:t>DPC reported to MPCB a naphtha discharge that was discovered at the site on March 19, 2001.  The discharge resulted from a malfunctioning solenoid valve in the water drain line in fuel filter skid D and E.  This led to the draining of naphtha from the skid trough, through the drain line leading to the oil/water separator and then to the storm water drain within the plant property line.  Oily water passing through the storm water drain was contained by putting up a temporary bund.  Thereafter, oily water was absorbed in absorbing pads and pillows and recovered through vacuum truck evacuation methods from the oil/water separator.</w:t>
      </w:r>
    </w:p>
    <w:p>
      <w:pPr>
        <w:pStyle w:val="Normal"/>
        <w:jc w:val="both"/>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080" w:leader="none"/>
          <w:tab w:val="left" w:pos="5106" w:leader="none"/>
          <w:tab w:val="left" w:pos="7254" w:leader="none"/>
        </w:tabs>
        <w:jc w:val="both"/>
        <w:rPr>
          <w:b w:val="false"/>
          <w:sz w:val="24"/>
          <w:u w:val="none"/>
        </w:rPr>
      </w:pPr>
      <w:r>
        <w:rPr>
          <w:b w:val="false"/>
          <w:sz w:val="24"/>
          <w:u w:val="none"/>
        </w:rPr>
        <w:t>F.</w:t>
        <w:tab/>
        <w:t>Litigation</w:t>
      </w:r>
    </w:p>
    <w:p>
      <w:pPr>
        <w:pStyle w:val="Normal"/>
        <w:jc w:val="both"/>
        <w:rPr>
          <w:rFonts w:ascii="Times New Roman" w:hAnsi="Times New Roman" w:cs="Times New Roman"/>
          <w:b/>
          <w:sz w:val="24"/>
          <w:u w:val="none"/>
        </w:rPr>
      </w:pPr>
      <w:r>
        <w:rPr>
          <w:rFonts w:cs="Times New Roman" w:ascii="Times New Roman" w:hAnsi="Times New Roman"/>
          <w:b/>
          <w:sz w:val="24"/>
          <w:u w:val="none"/>
        </w:rPr>
      </w:r>
    </w:p>
    <w:p>
      <w:pPr>
        <w:pStyle w:val="Normal"/>
        <w:ind w:firstLine="360" w:start="720" w:end="0"/>
        <w:jc w:val="both"/>
        <w:rPr>
          <w:rFonts w:ascii="Times New Roman" w:hAnsi="Times New Roman" w:cs="Times New Roman"/>
          <w:sz w:val="24"/>
        </w:rPr>
      </w:pPr>
      <w:r>
        <w:rPr>
          <w:rFonts w:cs="Times New Roman" w:ascii="Times New Roman" w:hAnsi="Times New Roman"/>
          <w:sz w:val="24"/>
        </w:rPr>
        <w:t>SDO Orders</w:t>
      </w:r>
    </w:p>
    <w:p>
      <w:pPr>
        <w:pStyle w:val="Normal"/>
        <w:ind w:start="1080" w:end="0"/>
        <w:jc w:val="both"/>
        <w:rPr>
          <w:rFonts w:ascii="Times New Roman" w:hAnsi="Times New Roman" w:cs="Times New Roman"/>
          <w:sz w:val="24"/>
        </w:rPr>
      </w:pPr>
      <w:r>
        <w:rPr>
          <w:rFonts w:cs="Times New Roman" w:ascii="Times New Roman" w:hAnsi="Times New Roman"/>
          <w:sz w:val="24"/>
        </w:rPr>
        <w:t>The Sub Divisional Officer (SDO) in Ratnagiri had passed certain orders which effectively removed the names of Enron India and DPC from the land records in respect of 12 parcels of land separately leased as part of the quarry site from which rocks are being quarried for use in the project's breakwater. Enron India and DPC have filed 12 Writ Petitions (in respect of the lands in question) in the Bombay High Court questioning the jurisdiction of the SDO in the matter and seeking to enjoin the Tahsildar’s actions.  On March 31, 2001 the Bombay High Court granted ad interim relief to DPC, which effectively precluded the SDO and Tahsildar from taking any immediate action to deprive DPC of its rights in the subject properties.  The next hearing on this matter is scheduled for April 17, 2001.</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Heading3"/>
        <w:tabs>
          <w:tab w:val="clear" w:pos="1344"/>
          <w:tab w:val="left" w:pos="1080" w:leader="none"/>
          <w:tab w:val="left" w:pos="5106" w:leader="none"/>
          <w:tab w:val="left" w:pos="7254" w:leader="none"/>
        </w:tabs>
        <w:ind w:firstLine="720" w:start="0" w:end="0"/>
        <w:jc w:val="start"/>
        <w:rPr>
          <w:b w:val="false"/>
          <w:bCs w:val="false"/>
          <w:sz w:val="24"/>
        </w:rPr>
      </w:pPr>
      <w:r>
        <w:rPr>
          <w:b w:val="false"/>
          <w:bCs w:val="false"/>
          <w:sz w:val="24"/>
        </w:rPr>
        <w:t>G.</w:t>
        <w:tab/>
        <w:t>G.C. Singh Petition</w:t>
      </w:r>
    </w:p>
    <w:p>
      <w:pPr>
        <w:pStyle w:val="Normal"/>
        <w:jc w:val="both"/>
        <w:rPr>
          <w:rFonts w:ascii="Times New Roman" w:hAnsi="Times New Roman" w:cs="Times New Roman"/>
          <w:b/>
          <w:bCs/>
          <w:sz w:val="24"/>
        </w:rPr>
      </w:pPr>
      <w:r>
        <w:rPr>
          <w:rFonts w:cs="Times New Roman" w:ascii="Times New Roman" w:hAnsi="Times New Roman"/>
          <w:b/>
          <w:bCs/>
          <w:sz w:val="24"/>
        </w:rPr>
      </w:r>
    </w:p>
    <w:p>
      <w:pPr>
        <w:pStyle w:val="Normal"/>
        <w:ind w:start="1080" w:end="0"/>
        <w:jc w:val="both"/>
        <w:rPr>
          <w:rFonts w:ascii="Times New Roman" w:hAnsi="Times New Roman" w:cs="Times New Roman"/>
          <w:sz w:val="24"/>
        </w:rPr>
      </w:pPr>
      <w:r>
        <w:rPr>
          <w:rFonts w:cs="Times New Roman" w:ascii="Times New Roman" w:hAnsi="Times New Roman"/>
          <w:sz w:val="24"/>
        </w:rPr>
        <w:t>A Public Interest Lawsuit has been filed by G.C. Singh et al. against the Union of India, DPC and others. DPC believes that the claims made by the petitioner have been addressed in the CITU litigation and previous petitions.  DPC intends to seek dismissal of this petition on the basis of res judicata or constructive res judicata. An application for transfer of the petition to Mumbai was filed in the Mumbai High Court.</w:t>
      </w:r>
    </w:p>
    <w:p>
      <w:pPr>
        <w:pStyle w:val="Normal"/>
        <w:jc w:val="both"/>
        <w:rPr>
          <w:rFonts w:ascii="Times New Roman" w:hAnsi="Times New Roman" w:cs="Times New Roman"/>
          <w:sz w:val="24"/>
        </w:rPr>
      </w:pPr>
      <w:r>
        <w:rPr>
          <w:rFonts w:cs="Times New Roman" w:ascii="Times New Roman" w:hAnsi="Times New Roman"/>
          <w:sz w:val="24"/>
        </w:rPr>
      </w:r>
    </w:p>
    <w:p>
      <w:pPr>
        <w:pStyle w:val="Heading5"/>
        <w:tabs>
          <w:tab w:val="left" w:pos="720" w:leader="none"/>
          <w:tab w:val="left" w:pos="1080" w:leader="none"/>
          <w:tab w:val="left" w:pos="5106" w:leader="none"/>
          <w:tab w:val="left" w:pos="7254" w:leader="none"/>
        </w:tabs>
        <w:ind w:hanging="0" w:start="720" w:end="0"/>
        <w:rPr>
          <w:b w:val="false"/>
          <w:bCs w:val="false"/>
          <w:sz w:val="24"/>
          <w:u w:val="none"/>
        </w:rPr>
      </w:pPr>
      <w:r>
        <w:rPr>
          <w:b w:val="false"/>
          <w:bCs w:val="false"/>
          <w:sz w:val="24"/>
          <w:u w:val="none"/>
        </w:rPr>
        <w:t>H.</w:t>
        <w:tab/>
        <w:t>60 Day Notices</w:t>
      </w:r>
    </w:p>
    <w:p>
      <w:pPr>
        <w:pStyle w:val="Normal"/>
        <w:ind w:firstLine="360" w:start="720" w:end="0"/>
        <w:jc w:val="both"/>
        <w:rPr>
          <w:rFonts w:ascii="Times New Roman" w:hAnsi="Times New Roman" w:cs="Times New Roman"/>
          <w:sz w:val="24"/>
        </w:rPr>
      </w:pPr>
      <w:r>
        <w:rPr>
          <w:rFonts w:cs="Times New Roman" w:ascii="Times New Roman" w:hAnsi="Times New Roman"/>
          <w:sz w:val="24"/>
        </w:rPr>
        <w:t>DPC served the following 60 day Notices on April 11, 2001:</w:t>
      </w:r>
    </w:p>
    <w:p>
      <w:pPr>
        <w:pStyle w:val="Normal"/>
        <w:numPr>
          <w:ilvl w:val="0"/>
          <w:numId w:val="2"/>
        </w:numPr>
        <w:tabs>
          <w:tab w:val="clear" w:pos="720"/>
          <w:tab w:val="left" w:pos="1440" w:leader="none"/>
        </w:tabs>
        <w:ind w:hanging="1080" w:start="2160" w:end="0"/>
        <w:jc w:val="both"/>
        <w:rPr>
          <w:rFonts w:ascii="Times New Roman" w:hAnsi="Times New Roman" w:cs="Times New Roman"/>
          <w:sz w:val="24"/>
        </w:rPr>
      </w:pPr>
      <w:r>
        <w:rPr>
          <w:rFonts w:cs="Times New Roman" w:ascii="Times New Roman" w:hAnsi="Times New Roman"/>
          <w:sz w:val="24"/>
        </w:rPr>
        <w:t>Notice of GOI default for defaults on the part of the GOI of the GOI Guarantee; and</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1440" w:leader="none"/>
        </w:tabs>
        <w:ind w:hanging="360" w:start="1440" w:end="0"/>
        <w:jc w:val="both"/>
        <w:rPr>
          <w:rFonts w:ascii="Times New Roman" w:hAnsi="Times New Roman" w:cs="Times New Roman"/>
          <w:sz w:val="24"/>
        </w:rPr>
      </w:pPr>
      <w:r>
        <w:rPr>
          <w:rFonts w:cs="Times New Roman" w:ascii="Times New Roman" w:hAnsi="Times New Roman"/>
          <w:sz w:val="24"/>
        </w:rPr>
        <w:t>Notice of GOM Default for defaults on the part of GOM of the GOM Support Agreement and the Supplemental GOM Support Agreement; and</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1440" w:leader="none"/>
        </w:tabs>
        <w:ind w:hanging="1080" w:start="2160" w:end="0"/>
        <w:jc w:val="both"/>
        <w:rPr>
          <w:rFonts w:ascii="Times New Roman" w:hAnsi="Times New Roman" w:cs="Times New Roman"/>
          <w:sz w:val="24"/>
        </w:rPr>
      </w:pPr>
      <w:r>
        <w:rPr>
          <w:rFonts w:cs="Times New Roman" w:ascii="Times New Roman" w:hAnsi="Times New Roman"/>
          <w:sz w:val="24"/>
        </w:rPr>
        <w:t>Notice of GOM Default for defaults on the part of the GOM of the GOM Guarantee.</w:t>
      </w:r>
    </w:p>
    <w:p>
      <w:pPr>
        <w:pStyle w:val="Normal"/>
        <w:jc w:val="both"/>
        <w:rPr>
          <w:rFonts w:ascii="Times New Roman" w:hAnsi="Times New Roman" w:cs="Times New Roman"/>
          <w:sz w:val="24"/>
        </w:rPr>
      </w:pPr>
      <w:r>
        <w:rPr>
          <w:rFonts w:cs="Times New Roman" w:ascii="Times New Roman" w:hAnsi="Times New Roman"/>
          <w:sz w:val="24"/>
        </w:rPr>
      </w:r>
    </w:p>
    <w:p>
      <w:pPr>
        <w:pStyle w:val="Heading5"/>
        <w:tabs>
          <w:tab w:val="left" w:pos="720" w:leader="none"/>
          <w:tab w:val="left" w:pos="1080" w:leader="none"/>
          <w:tab w:val="left" w:pos="5106" w:leader="none"/>
          <w:tab w:val="left" w:pos="7254" w:leader="none"/>
        </w:tabs>
        <w:ind w:firstLine="720" w:start="0" w:end="0"/>
        <w:rPr>
          <w:b w:val="false"/>
          <w:bCs w:val="false"/>
          <w:sz w:val="24"/>
          <w:u w:val="none"/>
        </w:rPr>
      </w:pPr>
      <w:r>
        <w:rPr>
          <w:b w:val="false"/>
          <w:bCs w:val="false"/>
          <w:sz w:val="24"/>
          <w:u w:val="none"/>
        </w:rPr>
        <w:t>I.</w:t>
        <w:tab/>
        <w:t>MSEB Arbitration</w:t>
      </w:r>
    </w:p>
    <w:p>
      <w:pPr>
        <w:pStyle w:val="Normal"/>
        <w:ind w:start="1080" w:end="0"/>
        <w:jc w:val="both"/>
        <w:rPr>
          <w:rFonts w:ascii="Times New Roman" w:hAnsi="Times New Roman" w:cs="Times New Roman"/>
          <w:sz w:val="24"/>
        </w:rPr>
      </w:pPr>
      <w:r>
        <w:rPr>
          <w:rFonts w:cs="Times New Roman" w:ascii="Times New Roman" w:hAnsi="Times New Roman"/>
          <w:sz w:val="24"/>
        </w:rPr>
        <w:t xml:space="preserve">DPC has on April 12, 2001 served an Arbitration Notice on the MSEB in relation to the disputes related to inter alia the misdeclaration issue and the non-payment of Capacity and Energy Payments as well as outstanding interest amounts due and payable by MSEB to DPC. </w:t>
      </w:r>
    </w:p>
    <w:p>
      <w:pPr>
        <w:pStyle w:val="Normal"/>
        <w:jc w:val="both"/>
        <w:rPr>
          <w:rFonts w:ascii="Times New Roman" w:hAnsi="Times New Roman" w:cs="Times New Roman"/>
          <w:sz w:val="24"/>
        </w:rPr>
      </w:pPr>
      <w:r>
        <w:rPr>
          <w:rFonts w:cs="Times New Roman" w:ascii="Times New Roman" w:hAnsi="Times New Roman"/>
          <w:sz w:val="24"/>
        </w:rPr>
      </w:r>
    </w:p>
    <w:p>
      <w:pPr>
        <w:pStyle w:val="Heading5"/>
        <w:tabs>
          <w:tab w:val="clear" w:pos="5106"/>
          <w:tab w:val="clear" w:pos="7254"/>
          <w:tab w:val="left" w:pos="720" w:leader="none"/>
          <w:tab w:val="left" w:pos="1080" w:leader="none"/>
        </w:tabs>
        <w:ind w:firstLine="720" w:start="0" w:end="0"/>
        <w:rPr>
          <w:b w:val="false"/>
          <w:bCs w:val="false"/>
          <w:sz w:val="24"/>
          <w:u w:val="none"/>
        </w:rPr>
      </w:pPr>
      <w:r>
        <w:rPr>
          <w:b w:val="false"/>
          <w:bCs w:val="false"/>
          <w:sz w:val="24"/>
          <w:u w:val="none"/>
        </w:rPr>
        <w:t>J.</w:t>
        <w:tab/>
        <w:t>Political Force Majeure Notice (PFM)</w:t>
      </w:r>
    </w:p>
    <w:p>
      <w:pPr>
        <w:pStyle w:val="Normal"/>
        <w:ind w:start="1080" w:end="0"/>
        <w:jc w:val="both"/>
        <w:rPr>
          <w:rFonts w:ascii="Times New Roman" w:hAnsi="Times New Roman" w:cs="Times New Roman"/>
          <w:sz w:val="24"/>
        </w:rPr>
      </w:pPr>
      <w:r>
        <w:rPr>
          <w:rFonts w:cs="Times New Roman" w:ascii="Times New Roman" w:hAnsi="Times New Roman"/>
          <w:sz w:val="24"/>
        </w:rPr>
        <w:t xml:space="preserve">DPC has on April 7, 2001 served on the MSEB, the PFM setting out certain events and occurrences amounting to a situation of political force majeure, under the PPA. </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Normal"/>
        <w:keepNext w:val="true"/>
        <w:keepLines/>
        <w:ind w:end="-540"/>
        <w:rPr>
          <w:rFonts w:ascii="Times New Roman" w:hAnsi="Times New Roman" w:cs="Times New Roman"/>
          <w:sz w:val="24"/>
        </w:rPr>
      </w:pPr>
      <w:r>
        <w:rPr>
          <w:rFonts w:cs="Times New Roman" w:ascii="Times New Roman" w:hAnsi="Times New Roman"/>
          <w:sz w:val="24"/>
        </w:rPr>
        <w:t>VII.</w:t>
        <w:tab/>
        <w:t>Puerto Rico (Coralina Rivera)</w:t>
      </w:r>
    </w:p>
    <w:p>
      <w:pPr>
        <w:pStyle w:val="Heading7"/>
        <w:ind w:hanging="0" w:start="0" w:end="-540"/>
        <w:rPr>
          <w:rFonts w:ascii="Times New Roman" w:hAnsi="Times New Roman" w:cs="Times New Roman"/>
          <w:b w:val="false"/>
          <w:sz w:val="24"/>
        </w:rPr>
      </w:pPr>
      <w:r>
        <w:rPr>
          <w:rFonts w:cs="Times New Roman" w:ascii="Times New Roman" w:hAnsi="Times New Roman"/>
          <w:b w:val="false"/>
          <w:sz w:val="24"/>
        </w:rPr>
      </w:r>
    </w:p>
    <w:p>
      <w:pPr>
        <w:pStyle w:val="Heading7"/>
        <w:ind w:hanging="720" w:start="1440" w:end="-540"/>
        <w:rPr>
          <w:rFonts w:ascii="Times New Roman" w:hAnsi="Times New Roman" w:cs="Times New Roman"/>
          <w:b w:val="false"/>
          <w:i w:val="false"/>
          <w:i w:val="false"/>
          <w:iCs/>
          <w:sz w:val="24"/>
          <w:u w:val="none"/>
        </w:rPr>
      </w:pPr>
      <w:r>
        <w:rPr>
          <w:rFonts w:cs="Times New Roman" w:ascii="Times New Roman" w:hAnsi="Times New Roman"/>
          <w:b w:val="false"/>
          <w:i w:val="false"/>
          <w:iCs/>
          <w:sz w:val="24"/>
          <w:u w:val="none"/>
        </w:rPr>
        <w:t>A.</w:t>
        <w:tab/>
        <w:t xml:space="preserve">EcoElectrica 507 MW CC LNG Plant and 160k cubic meters LNG storage tank </w:t>
      </w:r>
    </w:p>
    <w:p>
      <w:pPr>
        <w:pStyle w:val="Heading2"/>
        <w:ind w:end="-540"/>
        <w:rPr>
          <w:rFonts w:ascii="Times New Roman" w:hAnsi="Times New Roman" w:cs="Times New Roman"/>
          <w:b/>
          <w:i/>
          <w:i/>
          <w:iCs/>
          <w:sz w:val="24"/>
          <w:u w:val="none"/>
        </w:rPr>
      </w:pPr>
      <w:r>
        <w:rPr>
          <w:rFonts w:cs="Times New Roman"/>
          <w:b/>
          <w:i/>
          <w:iCs/>
          <w:sz w:val="24"/>
          <w:u w:val="none"/>
        </w:rPr>
      </w:r>
    </w:p>
    <w:p>
      <w:pPr>
        <w:pStyle w:val="Normal"/>
        <w:numPr>
          <w:ilvl w:val="0"/>
          <w:numId w:val="20"/>
        </w:numPr>
        <w:tabs>
          <w:tab w:val="clear" w:pos="720"/>
          <w:tab w:val="left" w:pos="1440" w:leader="none"/>
        </w:tabs>
        <w:ind w:hanging="720" w:start="2160" w:end="0"/>
        <w:rPr>
          <w:rFonts w:ascii="Times New Roman" w:hAnsi="Times New Roman" w:cs="Times New Roman"/>
          <w:sz w:val="24"/>
        </w:rPr>
      </w:pPr>
      <w:r>
        <w:rPr>
          <w:rFonts w:cs="Times New Roman" w:ascii="Times New Roman" w:hAnsi="Times New Roman"/>
          <w:sz w:val="24"/>
        </w:rPr>
        <w:t>Siemens/Westinghouse (“ SW”)  warranty issues (including ramifications with lenders and underwriters).  -  Compromise developing between Eco and adjusters to settle the BI claim at @ $21 MM (net) (out of Eco’s $24.5 MM net claim).</w:t>
      </w:r>
    </w:p>
    <w:p>
      <w:pPr>
        <w:pStyle w:val="Normal"/>
        <w:ind w:start="1440" w:end="0"/>
        <w:rPr>
          <w:rFonts w:ascii="Times New Roman" w:hAnsi="Times New Roman" w:cs="Times New Roman"/>
          <w:sz w:val="24"/>
        </w:rPr>
      </w:pPr>
      <w:r>
        <w:rPr>
          <w:rFonts w:cs="Times New Roman" w:ascii="Times New Roman" w:hAnsi="Times New Roman"/>
          <w:sz w:val="24"/>
        </w:rPr>
        <w:t xml:space="preserve"> </w:t>
      </w:r>
    </w:p>
    <w:p>
      <w:pPr>
        <w:pStyle w:val="Normal"/>
        <w:ind w:hanging="720" w:start="2160" w:end="0"/>
        <w:rPr>
          <w:rFonts w:ascii="Times New Roman" w:hAnsi="Times New Roman" w:cs="Times New Roman"/>
          <w:sz w:val="24"/>
        </w:rPr>
      </w:pPr>
      <w:r>
        <w:rPr>
          <w:rFonts w:cs="Times New Roman" w:ascii="Times New Roman" w:hAnsi="Times New Roman"/>
          <w:sz w:val="24"/>
        </w:rPr>
        <w:t>2.</w:t>
        <w:tab/>
        <w:t>PREPA (buyer under the PPA)  payment issues –  Eco submitted a proposal to PREPA on 4/11/01 for the use of a CT-1 rotor (to cover the “unscheduled” outage expected in 5/01).</w:t>
      </w:r>
    </w:p>
    <w:p>
      <w:pPr>
        <w:pStyle w:val="Normal"/>
        <w:rPr>
          <w:rFonts w:ascii="Times New Roman" w:hAnsi="Times New Roman" w:cs="Times New Roman"/>
          <w:sz w:val="24"/>
        </w:rPr>
      </w:pPr>
      <w:r>
        <w:rPr>
          <w:rFonts w:cs="Times New Roman" w:ascii="Times New Roman" w:hAnsi="Times New Roman"/>
          <w:sz w:val="24"/>
        </w:rPr>
      </w:r>
    </w:p>
    <w:p>
      <w:pPr>
        <w:pStyle w:val="Normal"/>
        <w:ind w:hanging="720" w:start="2160" w:end="0"/>
        <w:rPr>
          <w:rFonts w:ascii="Times New Roman" w:hAnsi="Times New Roman" w:cs="Times New Roman"/>
          <w:sz w:val="24"/>
        </w:rPr>
      </w:pPr>
      <w:r>
        <w:rPr>
          <w:rFonts w:cs="Times New Roman" w:ascii="Times New Roman" w:hAnsi="Times New Roman"/>
          <w:sz w:val="24"/>
        </w:rPr>
        <w:t>3.</w:t>
        <w:tab/>
        <w:t>NLRB – Third meeting with United Steelworkers (certified in 12/00) held on 4/3/01.  Next meeting 5/31/01.</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4.</w:t>
        <w:tab/>
        <w:t>New GM – Ernesto Cordova started this month.</w:t>
      </w:r>
    </w:p>
    <w:p>
      <w:pPr>
        <w:pStyle w:val="Normal"/>
        <w:rPr>
          <w:rFonts w:ascii="Times New Roman" w:hAnsi="Times New Roman" w:cs="Times New Roman"/>
          <w:sz w:val="24"/>
        </w:rPr>
      </w:pPr>
      <w:r>
        <w:rPr>
          <w:rFonts w:cs="Times New Roman" w:ascii="Times New Roman" w:hAnsi="Times New Roman"/>
          <w:sz w:val="24"/>
        </w:rPr>
      </w:r>
    </w:p>
    <w:p>
      <w:pPr>
        <w:pStyle w:val="Normal"/>
        <w:ind w:hanging="720" w:start="2160" w:end="0"/>
        <w:rPr>
          <w:rFonts w:ascii="Times New Roman" w:hAnsi="Times New Roman" w:cs="Times New Roman"/>
          <w:sz w:val="24"/>
        </w:rPr>
      </w:pPr>
      <w:r>
        <w:rPr>
          <w:rFonts w:cs="Times New Roman" w:ascii="Times New Roman" w:hAnsi="Times New Roman"/>
          <w:sz w:val="24"/>
        </w:rPr>
        <w:t>5.</w:t>
        <w:tab/>
        <w:t>Partner/EME – Tractabel no longer undertaking to acquire EME’s 50% interest in Eco. EME is still pursuing selling its interest in Eco.</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firstLine="720" w:end="-540"/>
        <w:rPr>
          <w:rFonts w:ascii="Times New Roman" w:hAnsi="Times New Roman" w:cs="Times New Roman"/>
          <w:sz w:val="24"/>
        </w:rPr>
      </w:pPr>
      <w:r>
        <w:rPr>
          <w:rFonts w:cs="Times New Roman" w:ascii="Times New Roman" w:hAnsi="Times New Roman"/>
          <w:sz w:val="24"/>
        </w:rPr>
        <w:t>B.</w:t>
        <w:tab/>
        <w:t>ProCaribe:</w:t>
      </w:r>
    </w:p>
    <w:p>
      <w:pPr>
        <w:pStyle w:val="Normal"/>
        <w:ind w:firstLine="720" w:end="-540"/>
        <w:rPr>
          <w:rFonts w:ascii="Times New Roman" w:hAnsi="Times New Roman" w:cs="Times New Roman"/>
          <w:sz w:val="24"/>
        </w:rPr>
      </w:pPr>
      <w:r>
        <w:rPr>
          <w:rFonts w:cs="Times New Roman" w:ascii="Times New Roman" w:hAnsi="Times New Roman"/>
          <w:sz w:val="24"/>
        </w:rPr>
      </w:r>
    </w:p>
    <w:p>
      <w:pPr>
        <w:pStyle w:val="Normal"/>
        <w:ind w:start="720" w:end="-540"/>
        <w:rPr>
          <w:rFonts w:ascii="Times New Roman" w:hAnsi="Times New Roman" w:cs="Times New Roman"/>
          <w:sz w:val="24"/>
        </w:rPr>
      </w:pPr>
      <w:r>
        <w:rPr>
          <w:rFonts w:cs="Times New Roman" w:ascii="Times New Roman" w:hAnsi="Times New Roman"/>
          <w:sz w:val="24"/>
        </w:rPr>
        <w:t xml:space="preserve">Propane storage terminal (22,000 TS) </w:t>
      </w:r>
    </w:p>
    <w:p>
      <w:pPr>
        <w:pStyle w:val="Normal"/>
        <w:ind w:start="720" w:end="-540"/>
        <w:rPr>
          <w:rFonts w:ascii="Times New Roman" w:hAnsi="Times New Roman" w:cs="Times New Roman"/>
          <w:sz w:val="24"/>
        </w:rPr>
      </w:pPr>
      <w:r>
        <w:rPr>
          <w:rFonts w:cs="Times New Roman" w:ascii="Times New Roman" w:hAnsi="Times New Roman"/>
          <w:sz w:val="24"/>
        </w:rPr>
        <w:t>No significant legal issues.</w:t>
      </w:r>
    </w:p>
    <w:p>
      <w:pPr>
        <w:pStyle w:val="Normal"/>
        <w:ind w:start="720" w:end="-540"/>
        <w:rPr>
          <w:rFonts w:ascii="Times New Roman" w:hAnsi="Times New Roman" w:cs="Times New Roman"/>
          <w:sz w:val="24"/>
        </w:rPr>
      </w:pPr>
      <w:r>
        <w:rPr>
          <w:rFonts w:cs="Times New Roman" w:ascii="Times New Roman" w:hAnsi="Times New Roman"/>
          <w:sz w:val="24"/>
        </w:rPr>
      </w:r>
    </w:p>
    <w:p>
      <w:pPr>
        <w:pStyle w:val="Normal"/>
        <w:ind w:firstLine="720" w:end="-540"/>
        <w:rPr>
          <w:rFonts w:ascii="Times New Roman" w:hAnsi="Times New Roman" w:cs="Times New Roman"/>
          <w:sz w:val="24"/>
        </w:rPr>
      </w:pPr>
      <w:r>
        <w:rPr>
          <w:rFonts w:cs="Times New Roman" w:ascii="Times New Roman" w:hAnsi="Times New Roman"/>
          <w:sz w:val="24"/>
        </w:rPr>
        <w:t>C.</w:t>
        <w:tab/>
        <w:t>Progasco:</w:t>
      </w:r>
    </w:p>
    <w:p>
      <w:pPr>
        <w:pStyle w:val="Normal"/>
        <w:ind w:firstLine="720" w:start="720" w:end="-540"/>
        <w:rPr>
          <w:rFonts w:ascii="Times New Roman" w:hAnsi="Times New Roman" w:cs="Times New Roman"/>
          <w:sz w:val="24"/>
          <w:u w:val="single"/>
        </w:rPr>
      </w:pPr>
      <w:r>
        <w:rPr>
          <w:rFonts w:cs="Times New Roman" w:ascii="Times New Roman" w:hAnsi="Times New Roman"/>
          <w:sz w:val="24"/>
          <w:u w:val="single"/>
        </w:rPr>
        <w:t>LPG distribution.</w:t>
      </w:r>
    </w:p>
    <w:p>
      <w:pPr>
        <w:pStyle w:val="Normal"/>
        <w:ind w:firstLine="720" w:end="-540"/>
        <w:rPr>
          <w:rFonts w:ascii="Times New Roman" w:hAnsi="Times New Roman" w:cs="Times New Roman"/>
          <w:sz w:val="24"/>
          <w:u w:val="single"/>
        </w:rPr>
      </w:pPr>
      <w:r>
        <w:rPr>
          <w:rFonts w:cs="Times New Roman" w:ascii="Times New Roman" w:hAnsi="Times New Roman"/>
          <w:sz w:val="24"/>
          <w:u w:val="single"/>
        </w:rPr>
      </w:r>
    </w:p>
    <w:p>
      <w:pPr>
        <w:pStyle w:val="Normal"/>
        <w:ind w:start="1440" w:end="0"/>
        <w:rPr>
          <w:rFonts w:ascii="Times New Roman" w:hAnsi="Times New Roman" w:cs="Times New Roman"/>
          <w:sz w:val="24"/>
        </w:rPr>
      </w:pPr>
      <w:r>
        <w:rPr>
          <w:rFonts w:cs="Times New Roman" w:ascii="Times New Roman" w:hAnsi="Times New Roman"/>
          <w:sz w:val="24"/>
        </w:rPr>
        <w:t>Sale of business - (Buyer - Tropigas, a local competitor).  ($14.4MM+ 10% non-voting interest in Buyer’s new entity).  Closing of Purchase and Sale Agreement  expected on 4/30/01.  Required prior notices to the Labor Union and the PSC (regulatory agency) were provided on 3/19/01.  A $300,000 “good faith deposit” from buyer was received on 3/16/01.</w:t>
      </w:r>
    </w:p>
    <w:p>
      <w:pPr>
        <w:pStyle w:val="Heading1"/>
        <w:ind w:end="-540"/>
        <w:rPr>
          <w:rFonts w:ascii="Times New Roman" w:hAnsi="Times New Roman" w:cs="Times New Roman"/>
          <w:b w:val="false"/>
          <w:sz w:val="24"/>
        </w:rPr>
      </w:pPr>
      <w:r>
        <w:rPr>
          <w:rFonts w:cs="Times New Roman"/>
          <w:b w:val="false"/>
          <w:sz w:val="24"/>
        </w:rPr>
      </w:r>
    </w:p>
    <w:p>
      <w:pPr>
        <w:pStyle w:val="Heading1"/>
        <w:numPr>
          <w:ilvl w:val="0"/>
          <w:numId w:val="18"/>
        </w:numPr>
        <w:ind w:hanging="720" w:start="720" w:end="-540"/>
        <w:rPr>
          <w:b w:val="false"/>
          <w:sz w:val="24"/>
          <w:u w:val="none"/>
        </w:rPr>
      </w:pPr>
      <w:r>
        <w:rPr>
          <w:b w:val="false"/>
          <w:sz w:val="24"/>
          <w:u w:val="none"/>
        </w:rPr>
        <w:t>Nicaragua (Francisco Pinto-Leite)</w:t>
      </w:r>
    </w:p>
    <w:p>
      <w:pPr>
        <w:pStyle w:val="Heading8"/>
        <w:ind w:end="-540"/>
        <w:rPr>
          <w:u w:val="none"/>
        </w:rPr>
      </w:pPr>
      <w:r>
        <w:rPr>
          <w:u w:val="none"/>
        </w:rPr>
        <w:t>Corinto 70MW Barge-mounted Plant</w:t>
      </w:r>
    </w:p>
    <w:p>
      <w:pPr>
        <w:pStyle w:val="Normal"/>
        <w:ind w:start="720" w:end="-540"/>
        <w:rPr>
          <w:rFonts w:ascii="Times New Roman" w:hAnsi="Times New Roman" w:cs="Times New Roman"/>
          <w:sz w:val="24"/>
          <w:u w:val="none"/>
        </w:rPr>
      </w:pPr>
      <w:r>
        <w:rPr>
          <w:rFonts w:cs="Times New Roman" w:ascii="Times New Roman" w:hAnsi="Times New Roman"/>
          <w:sz w:val="24"/>
          <w:u w:val="none"/>
        </w:rPr>
      </w:r>
    </w:p>
    <w:p>
      <w:pPr>
        <w:pStyle w:val="Normal"/>
        <w:ind w:start="720" w:end="-540"/>
        <w:rPr>
          <w:rFonts w:ascii="Times New Roman" w:hAnsi="Times New Roman" w:cs="Times New Roman"/>
          <w:sz w:val="24"/>
        </w:rPr>
      </w:pPr>
      <w:r>
        <w:rPr>
          <w:rFonts w:cs="Times New Roman" w:ascii="Times New Roman" w:hAnsi="Times New Roman"/>
          <w:sz w:val="24"/>
        </w:rPr>
        <w:t>No significant legal issues.</w:t>
      </w:r>
    </w:p>
    <w:p>
      <w:pPr>
        <w:pStyle w:val="Heading1"/>
        <w:ind w:end="-540"/>
        <w:rPr>
          <w:rFonts w:ascii="Times New Roman" w:hAnsi="Times New Roman" w:cs="Times New Roman"/>
          <w:b w:val="false"/>
          <w:sz w:val="24"/>
        </w:rPr>
      </w:pPr>
      <w:r>
        <w:rPr>
          <w:rFonts w:cs="Times New Roman"/>
          <w:b w:val="false"/>
          <w:sz w:val="24"/>
        </w:rPr>
      </w:r>
    </w:p>
    <w:p>
      <w:pPr>
        <w:pStyle w:val="Heading1"/>
        <w:ind w:hanging="720" w:end="-540"/>
        <w:rPr>
          <w:b w:val="false"/>
          <w:sz w:val="24"/>
          <w:u w:val="none"/>
        </w:rPr>
      </w:pPr>
      <w:r>
        <w:rPr>
          <w:b w:val="false"/>
          <w:sz w:val="24"/>
          <w:u w:val="none"/>
        </w:rPr>
        <w:t>IX.</w:t>
        <w:tab/>
        <w:t>Guatemala (Francisco Pinto-Leite)</w:t>
      </w:r>
    </w:p>
    <w:p>
      <w:pPr>
        <w:pStyle w:val="Heading1"/>
        <w:ind w:end="-540"/>
        <w:rPr>
          <w:b w:val="false"/>
          <w:sz w:val="24"/>
          <w:u w:val="none"/>
        </w:rPr>
      </w:pPr>
      <w:r>
        <w:rPr>
          <w:b w:val="false"/>
          <w:sz w:val="24"/>
          <w:u w:val="none"/>
        </w:rPr>
        <w:t>PQPLLC 234MW Barge-mounted Plant</w:t>
      </w:r>
    </w:p>
    <w:p>
      <w:pPr>
        <w:pStyle w:val="Normal"/>
        <w:ind w:end="-540"/>
        <w:jc w:val="center"/>
        <w:rPr>
          <w:rFonts w:ascii="Times New Roman" w:hAnsi="Times New Roman" w:cs="Times New Roman"/>
          <w:b/>
          <w:sz w:val="24"/>
          <w:u w:val="none"/>
        </w:rPr>
      </w:pPr>
      <w:r>
        <w:rPr>
          <w:rFonts w:cs="Times New Roman" w:ascii="Times New Roman" w:hAnsi="Times New Roman"/>
          <w:b/>
          <w:sz w:val="24"/>
          <w:u w:val="none"/>
        </w:rPr>
      </w:r>
    </w:p>
    <w:p>
      <w:pPr>
        <w:pStyle w:val="Normal"/>
        <w:ind w:hanging="720" w:start="1440" w:end="-540"/>
        <w:rPr>
          <w:rFonts w:ascii="Times New Roman" w:hAnsi="Times New Roman" w:cs="Times New Roman"/>
          <w:sz w:val="24"/>
        </w:rPr>
      </w:pPr>
      <w:r>
        <w:rPr>
          <w:rFonts w:cs="Times New Roman" w:ascii="Times New Roman" w:hAnsi="Times New Roman"/>
          <w:sz w:val="24"/>
        </w:rPr>
        <w:t>No update.</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Heading1"/>
        <w:keepLines/>
        <w:ind w:hanging="720" w:end="-540"/>
        <w:rPr>
          <w:b w:val="false"/>
          <w:sz w:val="24"/>
          <w:u w:val="none"/>
        </w:rPr>
      </w:pPr>
      <w:r>
        <w:rPr>
          <w:b w:val="false"/>
          <w:sz w:val="24"/>
          <w:u w:val="none"/>
        </w:rPr>
        <w:t>X.</w:t>
        <w:tab/>
        <w:t>Panama (Francisco Pinto-Leite)</w:t>
      </w:r>
    </w:p>
    <w:p>
      <w:pPr>
        <w:pStyle w:val="Normal"/>
        <w:keepNext w:val="true"/>
        <w:keepLines/>
        <w:ind w:firstLine="720" w:end="-540"/>
        <w:rPr>
          <w:rFonts w:ascii="Times New Roman" w:hAnsi="Times New Roman" w:cs="Times New Roman"/>
          <w:sz w:val="24"/>
        </w:rPr>
      </w:pPr>
      <w:r>
        <w:rPr>
          <w:rFonts w:cs="Times New Roman" w:ascii="Times New Roman" w:hAnsi="Times New Roman"/>
          <w:sz w:val="24"/>
        </w:rPr>
        <w:t>Combined cycle 330 MW power plant.</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Normal"/>
        <w:ind w:start="720" w:end="-540"/>
        <w:rPr>
          <w:rFonts w:ascii="Times New Roman" w:hAnsi="Times New Roman" w:cs="Times New Roman"/>
          <w:sz w:val="24"/>
        </w:rPr>
      </w:pPr>
      <w:r>
        <w:rPr>
          <w:rFonts w:cs="Times New Roman" w:ascii="Times New Roman" w:hAnsi="Times New Roman"/>
          <w:sz w:val="24"/>
        </w:rPr>
        <w:t>No update.</w:t>
      </w:r>
    </w:p>
    <w:p>
      <w:pPr>
        <w:pStyle w:val="Normal"/>
        <w:ind w:start="360" w:end="-540"/>
        <w:rPr>
          <w:rFonts w:ascii="Times New Roman" w:hAnsi="Times New Roman" w:cs="Times New Roman"/>
          <w:sz w:val="24"/>
        </w:rPr>
      </w:pPr>
      <w:r>
        <w:rPr>
          <w:rFonts w:cs="Times New Roman" w:ascii="Times New Roman" w:hAnsi="Times New Roman"/>
          <w:sz w:val="24"/>
        </w:rPr>
      </w:r>
    </w:p>
    <w:p>
      <w:pPr>
        <w:pStyle w:val="Heading5"/>
        <w:ind w:hanging="0" w:start="0" w:end="-540"/>
        <w:rPr>
          <w:b w:val="false"/>
          <w:bCs w:val="false"/>
          <w:sz w:val="24"/>
          <w:u w:val="none"/>
        </w:rPr>
      </w:pPr>
      <w:r>
        <w:rPr>
          <w:b w:val="false"/>
          <w:bCs w:val="false"/>
          <w:sz w:val="24"/>
          <w:u w:val="none"/>
        </w:rPr>
        <w:t>XI.</w:t>
        <w:tab/>
        <w:t>Venezuela (Miguel Mendoza)</w:t>
      </w:r>
    </w:p>
    <w:p>
      <w:pPr>
        <w:pStyle w:val="Normal"/>
        <w:tabs>
          <w:tab w:val="clear" w:pos="720"/>
          <w:tab w:val="left" w:pos="360" w:leader="none"/>
        </w:tabs>
        <w:ind w:end="-540"/>
        <w:rPr>
          <w:rFonts w:ascii="Times New Roman" w:hAnsi="Times New Roman" w:cs="Times New Roman"/>
          <w:sz w:val="24"/>
        </w:rPr>
      </w:pPr>
      <w:r>
        <w:rPr>
          <w:rFonts w:cs="Times New Roman" w:ascii="Times New Roman" w:hAnsi="Times New Roman"/>
          <w:sz w:val="24"/>
        </w:rPr>
        <w:tab/>
        <w:tab/>
        <w:t>A.</w:t>
        <w:tab/>
        <w:t>Accro</w:t>
      </w:r>
    </w:p>
    <w:p>
      <w:pPr>
        <w:pStyle w:val="Normal"/>
        <w:numPr>
          <w:ilvl w:val="0"/>
          <w:numId w:val="11"/>
        </w:numPr>
        <w:tabs>
          <w:tab w:val="clear" w:pos="720"/>
          <w:tab w:val="left" w:pos="360" w:leader="none"/>
        </w:tabs>
        <w:ind w:hanging="720" w:start="2160" w:end="-540"/>
        <w:rPr>
          <w:rFonts w:ascii="Times New Roman" w:hAnsi="Times New Roman" w:cs="Times New Roman"/>
          <w:sz w:val="24"/>
        </w:rPr>
      </w:pPr>
      <w:r>
        <w:rPr>
          <w:rFonts w:cs="Times New Roman" w:ascii="Times New Roman" w:hAnsi="Times New Roman"/>
          <w:sz w:val="24"/>
        </w:rPr>
        <w:t>Early completion of Santa Barbara extraction facility.</w:t>
      </w:r>
    </w:p>
    <w:p>
      <w:pPr>
        <w:pStyle w:val="Normal"/>
        <w:numPr>
          <w:ilvl w:val="0"/>
          <w:numId w:val="14"/>
        </w:numPr>
        <w:tabs>
          <w:tab w:val="clear" w:pos="720"/>
          <w:tab w:val="left" w:pos="360" w:leader="none"/>
        </w:tabs>
        <w:ind w:hanging="720" w:start="2880" w:end="-540"/>
        <w:rPr>
          <w:rFonts w:ascii="Times New Roman" w:hAnsi="Times New Roman" w:cs="Times New Roman"/>
          <w:sz w:val="24"/>
        </w:rPr>
      </w:pPr>
      <w:r>
        <w:rPr>
          <w:rFonts w:cs="Times New Roman" w:ascii="Times New Roman" w:hAnsi="Times New Roman"/>
          <w:sz w:val="24"/>
        </w:rPr>
        <w:t>Amendments to BOO and EPC contract were approved by lenders (OPIC and EXIM).</w:t>
      </w:r>
    </w:p>
    <w:p>
      <w:pPr>
        <w:pStyle w:val="Normal"/>
        <w:numPr>
          <w:ilvl w:val="0"/>
          <w:numId w:val="14"/>
        </w:numPr>
        <w:tabs>
          <w:tab w:val="clear" w:pos="720"/>
          <w:tab w:val="left" w:pos="360" w:leader="none"/>
        </w:tabs>
        <w:ind w:hanging="720" w:start="2880" w:end="-540"/>
        <w:rPr>
          <w:rFonts w:ascii="Times New Roman" w:hAnsi="Times New Roman" w:cs="Times New Roman"/>
          <w:sz w:val="24"/>
        </w:rPr>
      </w:pPr>
      <w:r>
        <w:rPr>
          <w:rFonts w:cs="Times New Roman" w:ascii="Times New Roman" w:hAnsi="Times New Roman"/>
          <w:sz w:val="24"/>
        </w:rPr>
        <w:t>Amendments to BOO pending execution by PDVSA’s executive committee. Final documentation expected to be executed by PDVSA next week.</w:t>
      </w:r>
    </w:p>
    <w:p>
      <w:pPr>
        <w:pStyle w:val="Normal"/>
        <w:tabs>
          <w:tab w:val="clear" w:pos="720"/>
          <w:tab w:val="left" w:pos="360" w:leader="none"/>
        </w:tabs>
        <w:ind w:hanging="1440" w:start="1440" w:end="-540"/>
        <w:rPr>
          <w:rFonts w:ascii="Times New Roman" w:hAnsi="Times New Roman" w:cs="Times New Roman"/>
          <w:sz w:val="24"/>
        </w:rPr>
      </w:pPr>
      <w:r>
        <w:rPr>
          <w:rFonts w:cs="Times New Roman" w:ascii="Times New Roman" w:hAnsi="Times New Roman"/>
          <w:sz w:val="24"/>
        </w:rPr>
      </w:r>
    </w:p>
    <w:p>
      <w:pPr>
        <w:pStyle w:val="Normal"/>
        <w:tabs>
          <w:tab w:val="clear" w:pos="720"/>
          <w:tab w:val="left" w:pos="360" w:leader="none"/>
          <w:tab w:val="left" w:pos="1440" w:leader="none"/>
        </w:tabs>
        <w:ind w:hanging="2160" w:start="2160" w:end="-540"/>
        <w:rPr>
          <w:rFonts w:ascii="Times New Roman" w:hAnsi="Times New Roman" w:cs="Times New Roman"/>
          <w:sz w:val="24"/>
        </w:rPr>
      </w:pPr>
      <w:r>
        <w:rPr>
          <w:rFonts w:cs="Times New Roman" w:ascii="Times New Roman" w:hAnsi="Times New Roman"/>
          <w:sz w:val="24"/>
        </w:rPr>
        <w:tab/>
        <w:tab/>
        <w:t>2.</w:t>
        <w:tab/>
        <w:t xml:space="preserve">Transcanada completed the sale of its 49.25% in the project to Williams International. Transaction was approved by project lenders. </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25"/>
        </w:numPr>
        <w:ind w:hanging="720" w:start="1440" w:end="-540"/>
        <w:rPr>
          <w:rFonts w:ascii="Times New Roman" w:hAnsi="Times New Roman" w:cs="Times New Roman"/>
          <w:sz w:val="24"/>
        </w:rPr>
      </w:pPr>
      <w:r>
        <w:rPr>
          <w:rFonts w:cs="Times New Roman" w:ascii="Times New Roman" w:hAnsi="Times New Roman"/>
          <w:sz w:val="24"/>
        </w:rPr>
        <w:t>Bachaquero</w:t>
      </w:r>
    </w:p>
    <w:p>
      <w:pPr>
        <w:pStyle w:val="Normal"/>
        <w:ind w:start="1440" w:end="-540"/>
        <w:rPr>
          <w:rFonts w:ascii="Times New Roman" w:hAnsi="Times New Roman" w:cs="Times New Roman"/>
          <w:sz w:val="24"/>
        </w:rPr>
      </w:pPr>
      <w:r>
        <w:rPr>
          <w:rFonts w:cs="Times New Roman" w:ascii="Times New Roman" w:hAnsi="Times New Roman"/>
          <w:sz w:val="24"/>
        </w:rPr>
        <w:t>Gas Compression Project in Lake Maracaibo</w:t>
      </w:r>
    </w:p>
    <w:p>
      <w:pPr>
        <w:pStyle w:val="Normal"/>
        <w:ind w:end="-540"/>
        <w:rPr>
          <w:rFonts w:ascii="Times New Roman" w:hAnsi="Times New Roman" w:cs="Times New Roman"/>
          <w:sz w:val="24"/>
        </w:rPr>
      </w:pPr>
      <w:r>
        <w:rPr>
          <w:rFonts w:cs="Times New Roman" w:ascii="Times New Roman" w:hAnsi="Times New Roman"/>
          <w:sz w:val="24"/>
        </w:rPr>
      </w:r>
    </w:p>
    <w:p>
      <w:pPr>
        <w:pStyle w:val="BlockText"/>
        <w:rPr>
          <w:rFonts w:ascii="Times New Roman" w:hAnsi="Times New Roman" w:cs="Times New Roman"/>
          <w:sz w:val="24"/>
        </w:rPr>
      </w:pPr>
      <w:r>
        <w:rPr>
          <w:rFonts w:cs="Times New Roman" w:ascii="Times New Roman" w:hAnsi="Times New Roman"/>
          <w:sz w:val="24"/>
        </w:rPr>
        <w:t>The Enron reached a commercial agreement with its partner in the project, Hanover, for the sale of Enron’s 40% equity interest in the project company for an amount of US$3MM.</w:t>
      </w:r>
    </w:p>
    <w:p>
      <w:pPr>
        <w:pStyle w:val="Normal"/>
        <w:ind w:start="1440"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Draft of Share Purchase Agreement was sent this week to Hanover for its review. Sale expected to be closed by the middle of second quarter.</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25"/>
        </w:numPr>
        <w:ind w:hanging="720" w:start="1440" w:end="-540"/>
        <w:rPr>
          <w:rFonts w:ascii="Times New Roman" w:hAnsi="Times New Roman" w:cs="Times New Roman"/>
          <w:sz w:val="24"/>
        </w:rPr>
      </w:pPr>
      <w:r>
        <w:rPr>
          <w:rFonts w:cs="Times New Roman" w:ascii="Times New Roman" w:hAnsi="Times New Roman"/>
          <w:sz w:val="24"/>
        </w:rPr>
        <w:t>Calife</w:t>
      </w:r>
    </w:p>
    <w:p>
      <w:pPr>
        <w:pStyle w:val="Normal"/>
        <w:ind w:start="1440" w:end="-540"/>
        <w:rPr>
          <w:rFonts w:ascii="Times New Roman" w:hAnsi="Times New Roman" w:cs="Times New Roman"/>
          <w:sz w:val="24"/>
        </w:rPr>
      </w:pPr>
      <w:r>
        <w:rPr>
          <w:rFonts w:cs="Times New Roman" w:ascii="Times New Roman" w:hAnsi="Times New Roman"/>
          <w:sz w:val="24"/>
        </w:rPr>
        <w:t>Electric distribution in Central Venezuela (Carabobo State)</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Negotiating amendment of PPA and lease agreement with CADAFE (government owned utility) to allow calife to expand its distribution operation and purchase power at 115KV and save transformation charge.</w:t>
      </w:r>
    </w:p>
    <w:p>
      <w:pPr>
        <w:pStyle w:val="Normal"/>
        <w:ind w:start="1440"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Analysing renewal of concession agreement with municipality for electricity distribution. New agreement must be adjusted to comply with new electric law and quality requirements imposed by new regulatory agency.</w:t>
      </w:r>
    </w:p>
    <w:p>
      <w:pPr>
        <w:pStyle w:val="Normal"/>
        <w:ind w:start="1440" w:end="-540"/>
        <w:rPr>
          <w:rFonts w:ascii="Times New Roman" w:hAnsi="Times New Roman" w:cs="Times New Roman"/>
          <w:sz w:val="24"/>
        </w:rPr>
      </w:pPr>
      <w:r>
        <w:rPr>
          <w:rFonts w:cs="Times New Roman" w:ascii="Times New Roman" w:hAnsi="Times New Roman"/>
          <w:sz w:val="24"/>
        </w:rPr>
      </w:r>
    </w:p>
    <w:p>
      <w:pPr>
        <w:pStyle w:val="Normal"/>
        <w:ind w:start="720" w:end="-540"/>
        <w:rPr>
          <w:rFonts w:ascii="Times New Roman" w:hAnsi="Times New Roman" w:cs="Times New Roman"/>
          <w:sz w:val="24"/>
        </w:rPr>
      </w:pPr>
      <w:r>
        <w:rPr>
          <w:rFonts w:cs="Times New Roman" w:ascii="Times New Roman" w:hAnsi="Times New Roman"/>
          <w:sz w:val="24"/>
        </w:rPr>
        <w:t>D.</w:t>
        <w:tab/>
        <w:t>Vengas</w:t>
      </w:r>
    </w:p>
    <w:p>
      <w:pPr>
        <w:pStyle w:val="Normal"/>
        <w:ind w:start="1440" w:end="-540"/>
        <w:rPr>
          <w:rFonts w:ascii="Times New Roman" w:hAnsi="Times New Roman" w:cs="Times New Roman"/>
          <w:sz w:val="24"/>
        </w:rPr>
      </w:pPr>
      <w:r>
        <w:rPr>
          <w:rFonts w:cs="Times New Roman" w:ascii="Times New Roman" w:hAnsi="Times New Roman"/>
          <w:sz w:val="24"/>
        </w:rPr>
        <w:t>LPG Distribution</w:t>
      </w:r>
    </w:p>
    <w:p>
      <w:pPr>
        <w:pStyle w:val="Normal"/>
        <w:ind w:start="1440" w:end="-540"/>
        <w:rPr>
          <w:rFonts w:ascii="Times New Roman" w:hAnsi="Times New Roman" w:cs="Times New Roman"/>
          <w:sz w:val="24"/>
        </w:rPr>
      </w:pPr>
      <w:r>
        <w:rPr>
          <w:rFonts w:cs="Times New Roman" w:ascii="Times New Roman" w:hAnsi="Times New Roman"/>
          <w:sz w:val="24"/>
        </w:rPr>
      </w:r>
    </w:p>
    <w:p>
      <w:pPr>
        <w:pStyle w:val="Normal"/>
        <w:numPr>
          <w:ilvl w:val="1"/>
          <w:numId w:val="23"/>
        </w:numPr>
        <w:ind w:hanging="720" w:start="2160" w:end="-540"/>
        <w:rPr>
          <w:rFonts w:ascii="Times New Roman" w:hAnsi="Times New Roman" w:cs="Times New Roman"/>
          <w:sz w:val="24"/>
        </w:rPr>
      </w:pPr>
      <w:r>
        <w:rPr>
          <w:rFonts w:cs="Times New Roman" w:ascii="Times New Roman" w:hAnsi="Times New Roman"/>
          <w:sz w:val="24"/>
        </w:rPr>
        <w:t>Acquisition of LPG assets and distribution chain owned by Luferca (local competitor). Purchase price approximately US$4MM</w:t>
      </w:r>
    </w:p>
    <w:p>
      <w:pPr>
        <w:pStyle w:val="Normal"/>
        <w:numPr>
          <w:ilvl w:val="2"/>
          <w:numId w:val="23"/>
        </w:numPr>
        <w:tabs>
          <w:tab w:val="clear" w:pos="720"/>
          <w:tab w:val="left" w:pos="2970" w:leader="none"/>
        </w:tabs>
        <w:ind w:hanging="360" w:start="2700" w:end="-540"/>
        <w:rPr>
          <w:rFonts w:ascii="Times New Roman" w:hAnsi="Times New Roman" w:cs="Times New Roman"/>
          <w:sz w:val="24"/>
        </w:rPr>
      </w:pPr>
      <w:r>
        <w:rPr>
          <w:rFonts w:cs="Times New Roman" w:ascii="Times New Roman" w:hAnsi="Times New Roman"/>
          <w:sz w:val="24"/>
        </w:rPr>
        <w:t>MOU currently being negotiated with seller. MOU is not binding for Vengas, however, establishes a exclusivity period for Vengas to complete due diligence and a price adjustment mechanism at Venga’s request if technical/commercial/legal due diligence does not reflect seller initial representations.</w:t>
      </w:r>
    </w:p>
    <w:p>
      <w:pPr>
        <w:pStyle w:val="Normal"/>
        <w:numPr>
          <w:ilvl w:val="2"/>
          <w:numId w:val="23"/>
        </w:numPr>
        <w:tabs>
          <w:tab w:val="clear" w:pos="720"/>
          <w:tab w:val="left" w:pos="2970" w:leader="none"/>
        </w:tabs>
        <w:ind w:hanging="360" w:start="2700" w:end="-540"/>
        <w:rPr>
          <w:rFonts w:ascii="Times New Roman" w:hAnsi="Times New Roman" w:cs="Times New Roman"/>
          <w:sz w:val="24"/>
        </w:rPr>
      </w:pPr>
      <w:r>
        <w:rPr>
          <w:rFonts w:cs="Times New Roman" w:ascii="Times New Roman" w:hAnsi="Times New Roman"/>
          <w:sz w:val="24"/>
        </w:rPr>
        <w:t>Due diligence expected to be completed 2 weeks after execution of MOU.</w:t>
      </w:r>
    </w:p>
    <w:p>
      <w:pPr>
        <w:pStyle w:val="Normal"/>
        <w:tabs>
          <w:tab w:val="clear" w:pos="720"/>
          <w:tab w:val="left" w:pos="2970" w:leader="none"/>
        </w:tabs>
        <w:ind w:end="-540"/>
        <w:rPr>
          <w:rFonts w:ascii="Times New Roman" w:hAnsi="Times New Roman" w:cs="Times New Roman"/>
          <w:sz w:val="24"/>
        </w:rPr>
      </w:pPr>
      <w:r>
        <w:rPr>
          <w:rFonts w:cs="Times New Roman" w:ascii="Times New Roman" w:hAnsi="Times New Roman"/>
          <w:sz w:val="24"/>
        </w:rPr>
      </w:r>
    </w:p>
    <w:p>
      <w:pPr>
        <w:pStyle w:val="Normal"/>
        <w:numPr>
          <w:ilvl w:val="1"/>
          <w:numId w:val="23"/>
        </w:numPr>
        <w:tabs>
          <w:tab w:val="clear" w:pos="720"/>
          <w:tab w:val="left" w:pos="90" w:leader="none"/>
          <w:tab w:val="left" w:pos="2970" w:leader="none"/>
        </w:tabs>
        <w:ind w:hanging="720" w:start="2160" w:end="-540"/>
        <w:rPr>
          <w:rFonts w:ascii="Times New Roman" w:hAnsi="Times New Roman" w:cs="Times New Roman"/>
          <w:sz w:val="24"/>
        </w:rPr>
      </w:pPr>
      <w:r>
        <w:rPr>
          <w:rFonts w:cs="Times New Roman" w:ascii="Times New Roman" w:hAnsi="Times New Roman"/>
          <w:sz w:val="24"/>
        </w:rPr>
        <w:t>Started searching effort for a new corporate/litigation junior lawyer for Vengas. Potential candidates have been identified. New hire will replace internal lawyer who will retire this year.</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end="-540"/>
        <w:rPr>
          <w:rFonts w:ascii="Times New Roman" w:hAnsi="Times New Roman" w:cs="Times New Roman"/>
          <w:sz w:val="24"/>
        </w:rPr>
      </w:pPr>
      <w:r>
        <w:rPr>
          <w:rFonts w:cs="Times New Roman" w:ascii="Times New Roman" w:hAnsi="Times New Roman"/>
          <w:sz w:val="24"/>
        </w:rPr>
        <w:t>XII.</w:t>
        <w:tab/>
        <w:t>Colombia (Francisco Pinto Leite)</w:t>
      </w:r>
    </w:p>
    <w:p>
      <w:pPr>
        <w:pStyle w:val="Heading8"/>
        <w:ind w:end="-540"/>
        <w:rPr>
          <w:u w:val="none"/>
        </w:rPr>
      </w:pPr>
      <w:r>
        <w:rPr>
          <w:u w:val="none"/>
        </w:rPr>
        <w:t>Centragas</w:t>
      </w:r>
    </w:p>
    <w:p>
      <w:pPr>
        <w:pStyle w:val="Normal"/>
        <w:ind w:end="-540"/>
        <w:rPr>
          <w:rFonts w:ascii="Times New Roman" w:hAnsi="Times New Roman" w:cs="Times New Roman"/>
          <w:sz w:val="24"/>
          <w:u w:val="none"/>
        </w:rPr>
      </w:pPr>
      <w:r>
        <w:rPr>
          <w:rFonts w:cs="Times New Roman" w:ascii="Times New Roman" w:hAnsi="Times New Roman"/>
          <w:sz w:val="24"/>
          <w:u w:val="none"/>
        </w:rPr>
      </w:r>
    </w:p>
    <w:p>
      <w:pPr>
        <w:pStyle w:val="Normal"/>
        <w:ind w:start="720" w:end="-540"/>
        <w:rPr>
          <w:rFonts w:ascii="Times New Roman" w:hAnsi="Times New Roman" w:cs="Times New Roman"/>
          <w:sz w:val="24"/>
        </w:rPr>
      </w:pPr>
      <w:r>
        <w:rPr>
          <w:rFonts w:cs="Times New Roman" w:ascii="Times New Roman" w:hAnsi="Times New Roman"/>
          <w:sz w:val="24"/>
        </w:rPr>
        <w:t>No update.</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end="-540"/>
        <w:rPr>
          <w:rFonts w:ascii="Times New Roman" w:hAnsi="Times New Roman" w:cs="Times New Roman"/>
          <w:sz w:val="24"/>
        </w:rPr>
      </w:pPr>
      <w:r>
        <w:rPr>
          <w:rFonts w:cs="Times New Roman" w:ascii="Times New Roman" w:hAnsi="Times New Roman"/>
          <w:sz w:val="24"/>
        </w:rPr>
        <w:t>XIII.</w:t>
        <w:tab/>
        <w:t>Philippines (Angel Esguerra)</w:t>
      </w:r>
    </w:p>
    <w:p>
      <w:pPr>
        <w:pStyle w:val="Heading9"/>
        <w:numPr>
          <w:ilvl w:val="0"/>
          <w:numId w:val="16"/>
        </w:numPr>
        <w:spacing w:lineRule="auto" w:line="240"/>
        <w:ind w:hanging="720" w:start="1440" w:end="-540"/>
        <w:rPr>
          <w:color w:val="000000"/>
          <w:u w:val="none"/>
        </w:rPr>
      </w:pPr>
      <w:r>
        <w:rPr>
          <w:color w:val="000000"/>
          <w:u w:val="none"/>
        </w:rPr>
        <w:t>Bulacan Biomass Power Project</w:t>
      </w:r>
    </w:p>
    <w:p>
      <w:pPr>
        <w:pStyle w:val="Header"/>
        <w:tabs>
          <w:tab w:val="clear" w:pos="4320"/>
          <w:tab w:val="clear" w:pos="8640"/>
        </w:tabs>
        <w:ind w:end="-540"/>
        <w:rPr>
          <w:rFonts w:ascii="Times New Roman" w:hAnsi="Times New Roman" w:cs="Times New Roman"/>
          <w:color w:val="000000"/>
          <w:sz w:val="24"/>
          <w:u w:val="none"/>
        </w:rPr>
      </w:pPr>
      <w:r>
        <w:rPr>
          <w:rFonts w:cs="Times New Roman" w:ascii="Times New Roman" w:hAnsi="Times New Roman"/>
          <w:color w:val="000000"/>
          <w:sz w:val="24"/>
          <w:u w:val="none"/>
        </w:rPr>
      </w:r>
    </w:p>
    <w:p>
      <w:pPr>
        <w:pStyle w:val="Normal"/>
        <w:ind w:start="1440" w:end="-540"/>
        <w:rPr>
          <w:rFonts w:ascii="Times New Roman" w:hAnsi="Times New Roman" w:cs="Times New Roman"/>
          <w:sz w:val="24"/>
        </w:rPr>
      </w:pPr>
      <w:r>
        <w:rPr>
          <w:rFonts w:cs="Times New Roman" w:ascii="Times New Roman" w:hAnsi="Times New Roman"/>
          <w:sz w:val="24"/>
        </w:rPr>
        <w:t>Enron internal approvals were not issued.  Team members are searching for a third-party who will replace Enron as lead developer, and who is acceptable to Enron’s partners, lenders and off-taker.</w:t>
      </w:r>
    </w:p>
    <w:p>
      <w:pPr>
        <w:pStyle w:val="Normal"/>
        <w:ind w:start="1440" w:end="-540"/>
        <w:rPr>
          <w:rFonts w:ascii="Times New Roman" w:hAnsi="Times New Roman" w:cs="Times New Roman"/>
          <w:sz w:val="24"/>
        </w:rPr>
      </w:pPr>
      <w:r>
        <w:rPr>
          <w:rFonts w:cs="Times New Roman" w:ascii="Times New Roman" w:hAnsi="Times New Roman"/>
          <w:sz w:val="24"/>
        </w:rPr>
      </w:r>
    </w:p>
    <w:p>
      <w:pPr>
        <w:pStyle w:val="Normal"/>
        <w:numPr>
          <w:ilvl w:val="0"/>
          <w:numId w:val="16"/>
        </w:numPr>
        <w:ind w:hanging="720" w:start="1440" w:end="-540"/>
        <w:rPr>
          <w:rFonts w:ascii="Times New Roman" w:hAnsi="Times New Roman" w:cs="Times New Roman"/>
          <w:sz w:val="24"/>
        </w:rPr>
      </w:pPr>
      <w:r>
        <w:rPr>
          <w:rFonts w:cs="Times New Roman" w:ascii="Times New Roman" w:hAnsi="Times New Roman"/>
          <w:sz w:val="24"/>
        </w:rPr>
        <w:t>Batangas Power Plant.  No legal updates to report.</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16"/>
        </w:numPr>
        <w:ind w:hanging="720" w:start="1440" w:end="-540"/>
        <w:rPr>
          <w:rFonts w:ascii="Times New Roman" w:hAnsi="Times New Roman" w:cs="Times New Roman"/>
          <w:sz w:val="24"/>
        </w:rPr>
      </w:pPr>
      <w:r>
        <w:rPr>
          <w:rFonts w:cs="Times New Roman" w:ascii="Times New Roman" w:hAnsi="Times New Roman"/>
          <w:sz w:val="24"/>
        </w:rPr>
        <w:t>Subic Power Plant.  No legal updates to report.</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720" w:end="-540"/>
        <w:rPr>
          <w:rFonts w:ascii="Times New Roman" w:hAnsi="Times New Roman" w:cs="Times New Roman"/>
          <w:sz w:val="24"/>
        </w:rPr>
      </w:pPr>
      <w:r>
        <w:rPr>
          <w:rFonts w:cs="Times New Roman" w:ascii="Times New Roman" w:hAnsi="Times New Roman"/>
          <w:sz w:val="24"/>
        </w:rPr>
      </w:r>
    </w:p>
    <w:p>
      <w:pPr>
        <w:pStyle w:val="Normal"/>
        <w:keepNext w:val="true"/>
        <w:keepLines/>
        <w:numPr>
          <w:ilvl w:val="0"/>
          <w:numId w:val="6"/>
        </w:numPr>
        <w:ind w:hanging="720" w:start="720" w:end="-540"/>
        <w:rPr>
          <w:rFonts w:ascii="Times New Roman" w:hAnsi="Times New Roman" w:cs="Times New Roman"/>
          <w:sz w:val="24"/>
        </w:rPr>
      </w:pPr>
      <w:r>
        <w:rPr>
          <w:rFonts w:cs="Times New Roman" w:ascii="Times New Roman" w:hAnsi="Times New Roman"/>
          <w:sz w:val="24"/>
        </w:rPr>
        <w:t>Guam (Angel Esguerra)</w:t>
      </w:r>
    </w:p>
    <w:p>
      <w:pPr>
        <w:pStyle w:val="Normal"/>
        <w:keepNext w:val="true"/>
        <w:keepLines/>
        <w:ind w:start="720" w:end="-540"/>
        <w:rPr>
          <w:rFonts w:ascii="Times New Roman" w:hAnsi="Times New Roman" w:cs="Times New Roman"/>
          <w:sz w:val="24"/>
        </w:rPr>
      </w:pPr>
      <w:r>
        <w:rPr>
          <w:rFonts w:cs="Times New Roman" w:ascii="Times New Roman" w:hAnsi="Times New Roman"/>
          <w:sz w:val="24"/>
        </w:rPr>
        <w:t>Piti Power Plant</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Normal"/>
        <w:keepNext w:val="true"/>
        <w:keepLines/>
        <w:ind w:hanging="720" w:start="720" w:end="-540"/>
        <w:rPr/>
      </w:pPr>
      <w:r>
        <w:rPr>
          <w:rFonts w:cs="Times New Roman" w:ascii="Times New Roman" w:hAnsi="Times New Roman"/>
          <w:sz w:val="24"/>
        </w:rPr>
        <w:tab/>
        <w:t xml:space="preserve">Tomen, Enron’s partner in the Piti Power Plant, has rejected the term sheet for the replacement of all the cash in the debt service reserve account with a letter of credit. Team members are planning to ask Tomen to reconsider its initial position. </w:t>
      </w:r>
    </w:p>
    <w:p>
      <w:pPr>
        <w:pStyle w:val="Normal"/>
        <w:widowControl/>
        <w:tabs>
          <w:tab w:val="left" w:pos="720" w:leader="none"/>
          <w:tab w:val="left" w:pos="5106" w:leader="none"/>
          <w:tab w:val="left" w:pos="7254" w:leader="none"/>
        </w:tabs>
        <w:spacing w:before="60" w:after="0"/>
        <w:jc w:val="both"/>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720" w:right="720" w:gutter="0" w:header="288" w:top="576" w:footer="432"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/mnt/main-storage/datasets/enron-docs/doc/Monthly_Report_April_JVD.doc</w:t>
    </w:r>
    <w:r>
      <w:rPr>
        <w:rStyle w:val="PageNumber"/>
        <w:sz w:val="12"/>
      </w:rPr>
      <w:fldChar w:fldCharType="end"/>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rPr>
    </w:pPr>
    <w:r>
      <w:rPr>
        <w:b/>
        <w:bCs/>
        <w:i/>
      </w:rPr>
      <w:t>PRIVILEGED AND CONFIDENTIAL</w:t>
    </w:r>
  </w:p>
  <w:p>
    <w:pPr>
      <w:pStyle w:val="Header"/>
      <w:jc w:val="end"/>
      <w:rPr>
        <w:b/>
        <w:bCs/>
        <w:i/>
        <w:i/>
      </w:rPr>
    </w:pPr>
    <w:r>
      <w:rPr>
        <w:b/>
        <w:bCs/>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bullet"/>
      <w:lvlText w:val=""/>
      <w:lvlJc w:val="start"/>
      <w:pPr>
        <w:tabs>
          <w:tab w:val="num" w:pos="720"/>
        </w:tabs>
        <w:ind w:start="1080" w:hanging="360"/>
      </w:pPr>
      <w:rPr>
        <w:rFonts w:ascii="Symbol" w:hAnsi="Symbol" w:cs="Symbol" w:hint="default"/>
      </w:rPr>
    </w:lvl>
  </w:abstractNum>
  <w:abstractNum w:abstractNumId="6">
    <w:lvl w:ilvl="0">
      <w:start w:val="14"/>
      <w:numFmt w:val="upperRoman"/>
      <w:lvlText w:val="%1."/>
      <w:lvlJc w:val="start"/>
      <w:pPr>
        <w:tabs>
          <w:tab w:val="num" w:pos="720"/>
        </w:tabs>
        <w:ind w:start="720" w:hanging="720"/>
      </w:pPr>
      <w:r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720"/>
        </w:tabs>
        <w:ind w:start="720" w:hanging="360"/>
      </w:pPr>
      <w:rPr/>
    </w:lvl>
  </w:abstractNum>
  <w:abstractNum w:abstractNumId="10">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11">
    <w:lvl w:ilvl="0">
      <w:start w:val="1"/>
      <w:numFmt w:val="decimal"/>
      <w:lvlText w:val="%1."/>
      <w:lvlJc w:val="start"/>
      <w:pPr>
        <w:tabs>
          <w:tab w:val="num" w:pos="2160"/>
        </w:tabs>
        <w:ind w:start="2160" w:hanging="720"/>
      </w:pPr>
      <w:rPr/>
    </w:lvl>
  </w:abstractNum>
  <w:abstractNum w:abstractNumId="12">
    <w:lvl w:ilvl="0">
      <w:start w:val="1"/>
      <w:numFmt w:val="decimal"/>
      <w:lvlText w:val="%1."/>
      <w:lvlJc w:val="start"/>
      <w:pPr>
        <w:tabs>
          <w:tab w:val="num" w:pos="720"/>
        </w:tabs>
        <w:ind w:start="720" w:hanging="360"/>
      </w:pPr>
      <w:rPr/>
    </w:lvl>
    <w:lvl w:ilvl="1">
      <w:start w:val="1"/>
      <w:numFmt w:val="lowerRoman"/>
      <w:lvlText w:val="(%2)"/>
      <w:lvlJc w:val="start"/>
      <w:pPr>
        <w:tabs>
          <w:tab w:val="num" w:pos="1800"/>
        </w:tabs>
        <w:ind w:start="1800" w:hanging="720"/>
      </w:pPr>
      <w:rPr/>
    </w:lvl>
    <w:lvl w:ilvl="2">
      <w:start w:val="1"/>
      <w:numFmt w:val="bullet"/>
      <w:lvlText w:val=""/>
      <w:lvlJc w:val="start"/>
      <w:pPr>
        <w:tabs>
          <w:tab w:val="num" w:pos="2340"/>
        </w:tabs>
        <w:ind w:start="2340" w:hanging="360"/>
      </w:pPr>
      <w:rPr>
        <w:rFonts w:ascii="Symbol" w:hAnsi="Symbol" w:cs="Symbol" w:hint="default"/>
      </w:rPr>
    </w:lvl>
    <w:lvl w:ilvl="3">
      <w:start w:val="0"/>
      <w:numFmt w:val="bullet"/>
      <w:lvlText w:val="-"/>
      <w:lvlJc w:val="start"/>
      <w:pPr>
        <w:tabs>
          <w:tab w:val="num" w:pos="2880"/>
        </w:tabs>
        <w:ind w:start="2880" w:hanging="360"/>
      </w:pPr>
      <w:rPr>
        <w:rFonts w:ascii="Times New Roman" w:hAnsi="Times New Roman" w:cs="Times New Roman"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1440"/>
        </w:tabs>
        <w:ind w:start="1440" w:hanging="720"/>
      </w:pPr>
      <w:rPr/>
    </w:lvl>
  </w:abstractNum>
  <w:abstractNum w:abstractNumId="14">
    <w:lvl w:ilvl="0">
      <w:start w:val="1"/>
      <w:numFmt w:val="lowerLetter"/>
      <w:lvlText w:val="%1."/>
      <w:lvlJc w:val="start"/>
      <w:pPr>
        <w:tabs>
          <w:tab w:val="num" w:pos="2880"/>
        </w:tabs>
        <w:ind w:start="2880" w:hanging="720"/>
      </w:pPr>
      <w:rPr/>
    </w:lvl>
  </w:abstractNum>
  <w:abstractNum w:abstractNumId="15">
    <w:lvl w:ilvl="0">
      <w:start w:val="1"/>
      <w:numFmt w:val="decimal"/>
      <w:lvlText w:val="%1."/>
      <w:lvlJc w:val="start"/>
      <w:pPr>
        <w:tabs>
          <w:tab w:val="num" w:pos="780"/>
        </w:tabs>
        <w:ind w:start="780" w:hanging="42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6">
    <w:lvl w:ilvl="0">
      <w:start w:val="1"/>
      <w:numFmt w:val="upperLetter"/>
      <w:lvlText w:val="%1."/>
      <w:lvlJc w:val="start"/>
      <w:pPr>
        <w:tabs>
          <w:tab w:val="num" w:pos="1440"/>
        </w:tabs>
        <w:ind w:start="1440" w:hanging="720"/>
      </w:pPr>
      <w:rPr>
        <w:u w:val="none"/>
      </w:rPr>
    </w:lvl>
  </w:abstractNum>
  <w:abstractNum w:abstractNumId="17">
    <w:lvl w:ilvl="0">
      <w:start w:val="5"/>
      <w:numFmt w:val="upperRoman"/>
      <w:lvlText w:val="%1."/>
      <w:lvlJc w:val="start"/>
      <w:pPr>
        <w:tabs>
          <w:tab w:val="num" w:pos="720"/>
        </w:tabs>
        <w:ind w:start="720" w:hanging="720"/>
      </w:pPr>
      <w:rPr/>
    </w:lvl>
  </w:abstractNum>
  <w:abstractNum w:abstractNumId="18">
    <w:lvl w:ilvl="0">
      <w:start w:val="8"/>
      <w:numFmt w:val="upperRoman"/>
      <w:lvlText w:val="%1."/>
      <w:lvlJc w:val="start"/>
      <w:pPr>
        <w:tabs>
          <w:tab w:val="num" w:pos="720"/>
        </w:tabs>
        <w:ind w:start="720" w:hanging="720"/>
      </w:pPr>
      <w:rPr/>
    </w:lvl>
  </w:abstractNum>
  <w:abstractNum w:abstractNumId="19">
    <w:lvl w:ilvl="0">
      <w:start w:val="1"/>
      <w:numFmt w:val="decimal"/>
      <w:lvlText w:val="%1."/>
      <w:lvlJc w:val="start"/>
      <w:pPr>
        <w:tabs>
          <w:tab w:val="num" w:pos="1080"/>
        </w:tabs>
        <w:ind w:start="1080" w:hanging="360"/>
      </w:pPr>
      <w:rPr/>
    </w:lvl>
  </w:abstractNum>
  <w:abstractNum w:abstractNumId="20">
    <w:lvl w:ilvl="0">
      <w:start w:val="1"/>
      <w:numFmt w:val="decimal"/>
      <w:lvlText w:val="%1."/>
      <w:lvlJc w:val="start"/>
      <w:pPr>
        <w:tabs>
          <w:tab w:val="num" w:pos="720"/>
        </w:tabs>
        <w:ind w:start="2160" w:hanging="360"/>
      </w:pPr>
    </w:lvl>
  </w:abstractNum>
  <w:abstractNum w:abstractNumId="21">
    <w:lvl w:ilvl="0">
      <w:start w:val="1"/>
      <w:numFmt w:val="decimal"/>
      <w:lvlText w:val="%1."/>
      <w:lvlJc w:val="start"/>
      <w:pPr>
        <w:tabs>
          <w:tab w:val="num" w:pos="780"/>
        </w:tabs>
        <w:ind w:start="780" w:hanging="420"/>
      </w:pPr>
      <w:rPr/>
    </w:lvl>
  </w:abstractNum>
  <w:abstractNum w:abstractNumId="22">
    <w:lvl w:ilvl="0">
      <w:start w:val="1"/>
      <w:numFmt w:val="decimal"/>
      <w:lvlText w:val="%1."/>
      <w:lvlJc w:val="start"/>
      <w:pPr>
        <w:tabs>
          <w:tab w:val="num" w:pos="720"/>
        </w:tabs>
        <w:ind w:start="720" w:hanging="36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3">
    <w:lvl w:ilvl="0">
      <w:start w:val="1"/>
      <w:numFmt w:val="upperLetter"/>
      <w:lvlText w:val="%1."/>
      <w:lvlJc w:val="start"/>
      <w:pPr>
        <w:tabs>
          <w:tab w:val="num" w:pos="1440"/>
        </w:tabs>
        <w:ind w:start="1440" w:hanging="720"/>
      </w:pPr>
      <w:rPr>
        <w:u w:val="none"/>
      </w:rPr>
    </w:lvl>
    <w:lvl w:ilvl="1">
      <w:start w:val="1"/>
      <w:numFmt w:val="decimal"/>
      <w:lvlText w:val="%2."/>
      <w:lvlJc w:val="start"/>
      <w:pPr>
        <w:tabs>
          <w:tab w:val="num" w:pos="2160"/>
        </w:tabs>
        <w:ind w:start="2160" w:hanging="720"/>
      </w:pPr>
      <w:rPr/>
    </w:lvl>
    <w:lvl w:ilvl="2">
      <w:start w:val="1"/>
      <w:numFmt w:val="lowerLetter"/>
      <w:lvlText w:val="%3."/>
      <w:lvlJc w:val="start"/>
      <w:pPr>
        <w:tabs>
          <w:tab w:val="num" w:pos="2700"/>
        </w:tabs>
        <w:ind w:start="2700" w:hanging="36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4">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5">
    <w:lvl w:ilvl="0">
      <w:start w:val="2"/>
      <w:numFmt w:val="upperLetter"/>
      <w:lvlText w:val="%1."/>
      <w:lvlJc w:val="start"/>
      <w:pPr>
        <w:tabs>
          <w:tab w:val="num" w:pos="1440"/>
        </w:tabs>
        <w:ind w:start="1440" w:hanging="720"/>
      </w:pPr>
      <w:rPr/>
    </w:lvl>
  </w:abstractNum>
  <w:abstractNum w:abstractNumId="26">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27">
    <w:lvl w:ilvl="0">
      <w:start w:val="1"/>
      <w:numFmt w:val="decimal"/>
      <w:lvlText w:val="%1."/>
      <w:lvlJc w:val="start"/>
      <w:pPr>
        <w:tabs>
          <w:tab w:val="num" w:pos="360"/>
        </w:tabs>
        <w:ind w:start="360" w:hanging="360"/>
      </w:pPr>
      <w:rPr/>
    </w:lvl>
  </w:abstractNum>
  <w:abstractNum w:abstractNumId="28">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paragraph" w:styleId="Heading8">
    <w:name w:val="heading 8"/>
    <w:basedOn w:val="Normal"/>
    <w:next w:val="Normal"/>
    <w:qFormat/>
    <w:pPr>
      <w:keepNext w:val="true"/>
      <w:widowControl/>
      <w:numPr>
        <w:ilvl w:val="7"/>
        <w:numId w:val="1"/>
      </w:numPr>
      <w:ind w:hanging="0" w:start="720" w:end="0"/>
      <w:outlineLvl w:val="7"/>
    </w:pPr>
    <w:rPr>
      <w:rFonts w:ascii="Times New Roman" w:hAnsi="Times New Roman" w:cs="Times New Roman"/>
      <w:sz w:val="24"/>
      <w:u w:val="single"/>
    </w:rPr>
  </w:style>
  <w:style w:type="paragraph" w:styleId="Heading9">
    <w:name w:val="heading 9"/>
    <w:basedOn w:val="Normal"/>
    <w:next w:val="Normal"/>
    <w:qFormat/>
    <w:pPr>
      <w:keepNext w:val="true"/>
      <w:widowControl/>
      <w:numPr>
        <w:ilvl w:val="8"/>
        <w:numId w:val="1"/>
      </w:numPr>
      <w:spacing w:lineRule="atLeast" w:line="240"/>
      <w:ind w:firstLine="720" w:start="0" w:end="0"/>
      <w:outlineLvl w:val="8"/>
    </w:pPr>
    <w:rPr>
      <w:rFonts w:ascii="Times New Roman" w:hAnsi="Times New Roman" w:cs="Times New Roman"/>
      <w:color w:val="000000"/>
      <w:sz w:val="24"/>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8z0">
    <w:name w:val="WW8Num18z0"/>
    <w:qFormat/>
    <w:rPr>
      <w:rFonts w:ascii="Symbol" w:hAnsi="Symbol" w:cs="Symbol"/>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33z0">
    <w:name w:val="WW8Num33z0"/>
    <w:qFormat/>
    <w:rPr>
      <w:rFonts w:ascii="Symbol" w:hAnsi="Symbol" w:cs="Symbol"/>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7z2">
    <w:name w:val="WW8Num47z2"/>
    <w:qFormat/>
    <w:rPr>
      <w:rFonts w:ascii="Symbol" w:hAnsi="Symbol" w:cs="Symbol"/>
    </w:rPr>
  </w:style>
  <w:style w:type="character" w:styleId="WW8Num47z3">
    <w:name w:val="WW8Num47z3"/>
    <w:qFormat/>
    <w:rPr>
      <w:rFonts w:ascii="Times New Roman" w:hAnsi="Times New Roman" w:eastAsia="Times New Roman" w:cs="Times New Roman"/>
    </w:rPr>
  </w:style>
  <w:style w:type="character" w:styleId="WW8Num48z0">
    <w:name w:val="WW8Num48z0"/>
    <w:qFormat/>
    <w:rPr>
      <w:rFonts w:ascii="Symbol" w:hAnsi="Symbol" w:cs="Symbol"/>
    </w:rPr>
  </w:style>
  <w:style w:type="character" w:styleId="WW8Num49z0">
    <w:name w:val="WW8Num49z0"/>
    <w:qFormat/>
    <w:rPr/>
  </w:style>
  <w:style w:type="character" w:styleId="WW8Num52z0">
    <w:name w:val="WW8Num52z0"/>
    <w:qFormat/>
    <w:rPr/>
  </w:style>
  <w:style w:type="character" w:styleId="WW8Num53z0">
    <w:name w:val="WW8Num53z0"/>
    <w:qFormat/>
    <w:rPr>
      <w:rFonts w:ascii="Symbol" w:hAnsi="Symbol" w:cs="Symbol"/>
    </w:rPr>
  </w:style>
  <w:style w:type="character" w:styleId="WW8Num53z1">
    <w:name w:val="WW8Num53z1"/>
    <w:qFormat/>
    <w:rPr>
      <w:rFonts w:ascii="Times New Roman" w:hAnsi="Times New Roman" w:eastAsia="Times New Roman" w:cs="Times New Roman"/>
      <w:i/>
    </w:rPr>
  </w:style>
  <w:style w:type="character" w:styleId="WW8Num53z2">
    <w:name w:val="WW8Num53z2"/>
    <w:qFormat/>
    <w:rPr>
      <w:rFonts w:ascii="Wingdings" w:hAnsi="Wingdings" w:cs="Wingdings"/>
    </w:rPr>
  </w:style>
  <w:style w:type="character" w:styleId="WW8Num53z4">
    <w:name w:val="WW8Num53z4"/>
    <w:qFormat/>
    <w:rPr>
      <w:rFonts w:ascii="Courier New" w:hAnsi="Courier New" w:cs="Courier New"/>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rPr>
  </w:style>
  <w:style w:type="character" w:styleId="WW8Num58z0">
    <w:name w:val="WW8Num58z0"/>
    <w:qFormat/>
    <w:rPr/>
  </w:style>
  <w:style w:type="character" w:styleId="WW8Num59z0">
    <w:name w:val="WW8Num59z0"/>
    <w:qFormat/>
    <w:rPr/>
  </w:style>
  <w:style w:type="character" w:styleId="WW8Num65z0">
    <w:name w:val="WW8Num65z0"/>
    <w:qFormat/>
    <w:rPr/>
  </w:style>
  <w:style w:type="character" w:styleId="WW8Num67z0">
    <w:name w:val="WW8Num67z0"/>
    <w:qFormat/>
    <w:rPr/>
  </w:style>
  <w:style w:type="character" w:styleId="WW8Num68z0">
    <w:name w:val="WW8Num68z0"/>
    <w:qFormat/>
    <w:rPr/>
  </w:style>
  <w:style w:type="character" w:styleId="WW8Num68z1">
    <w:name w:val="WW8Num68z1"/>
    <w:qFormat/>
    <w:rPr>
      <w:rFonts w:ascii="Symbol" w:hAnsi="Symbol" w:cs="Symbol"/>
    </w:rPr>
  </w:style>
  <w:style w:type="character" w:styleId="WW8Num72z0">
    <w:name w:val="WW8Num72z0"/>
    <w:qFormat/>
    <w:rPr>
      <w:rFonts w:ascii="Tms Rmn;Times New Roman" w:hAnsi="Tms Rmn;Times New Roman" w:cs="Tms Rmn;Times New Roman"/>
    </w:rPr>
  </w:style>
  <w:style w:type="character" w:styleId="WW8Num75z0">
    <w:name w:val="WW8Num75z0"/>
    <w:qFormat/>
    <w:rPr>
      <w:u w:val="none"/>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4z0">
    <w:name w:val="WW8Num84z0"/>
    <w:qFormat/>
    <w:rPr/>
  </w:style>
  <w:style w:type="character" w:styleId="WW8Num85z0">
    <w:name w:val="WW8Num85z0"/>
    <w:qFormat/>
    <w:rPr>
      <w:rFonts w:ascii="Wingdings" w:hAnsi="Wingdings" w:cs="Wingdings"/>
      <w:sz w:val="20"/>
    </w:rPr>
  </w:style>
  <w:style w:type="character" w:styleId="WW8Num88z0">
    <w:name w:val="WW8Num88z0"/>
    <w:qFormat/>
    <w:rPr/>
  </w:style>
  <w:style w:type="character" w:styleId="WW8Num89z0">
    <w:name w:val="WW8Num89z0"/>
    <w:qFormat/>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8z0">
    <w:name w:val="WW8Num98z0"/>
    <w:qFormat/>
    <w:rPr/>
  </w:style>
  <w:style w:type="character" w:styleId="WW8Num99z0">
    <w:name w:val="WW8Num99z0"/>
    <w:qFormat/>
    <w:rPr>
      <w:rFonts w:ascii="Wingdings" w:hAnsi="Wingdings" w:cs="Wingdings"/>
    </w:rPr>
  </w:style>
  <w:style w:type="character" w:styleId="WW8Num101z0">
    <w:name w:val="WW8Num101z0"/>
    <w:qFormat/>
    <w:rPr>
      <w:u w:val="none"/>
    </w:rPr>
  </w:style>
  <w:style w:type="character" w:styleId="WW8Num101z1">
    <w:name w:val="WW8Num101z1"/>
    <w:qFormat/>
    <w:rPr/>
  </w:style>
  <w:style w:type="character" w:styleId="WW8Num102z0">
    <w:name w:val="WW8Num102z0"/>
    <w:qFormat/>
    <w:rPr/>
  </w:style>
  <w:style w:type="character" w:styleId="WW8Num102z1">
    <w:name w:val="WW8Num102z1"/>
    <w:qFormat/>
    <w:rPr>
      <w:rFonts w:ascii="Times New Roman" w:hAnsi="Times New Roman" w:eastAsia="Times New Roman" w:cs="Times New Roman"/>
    </w:rPr>
  </w:style>
  <w:style w:type="character" w:styleId="WW8Num103z0">
    <w:name w:val="WW8Num103z0"/>
    <w:qFormat/>
    <w:rPr/>
  </w:style>
  <w:style w:type="character" w:styleId="WW8Num104z1">
    <w:name w:val="WW8Num104z1"/>
    <w:qFormat/>
    <w:rPr>
      <w:rFonts w:ascii="Symbol" w:hAnsi="Symbol" w:cs="Symbol"/>
    </w:rPr>
  </w:style>
  <w:style w:type="character" w:styleId="WW8Num106z0">
    <w:name w:val="WW8Num106z0"/>
    <w:qFormat/>
    <w:rPr>
      <w:rFonts w:ascii="Times New Roman" w:hAnsi="Times New Roman" w:eastAsia="Times New Roman" w:cs="Times New Roman"/>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Wingdings" w:hAnsi="Wingdings" w:cs="Wingdings"/>
      <w:sz w:val="20"/>
    </w:rPr>
  </w:style>
  <w:style w:type="character" w:styleId="WW8Num112z0">
    <w:name w:val="WW8Num112z0"/>
    <w:qFormat/>
    <w:rPr>
      <w:rFonts w:ascii="Wingdings" w:hAnsi="Wingdings" w:cs="Wingdings"/>
      <w:sz w:val="20"/>
    </w:rPr>
  </w:style>
  <w:style w:type="character" w:styleId="WW8Num114z0">
    <w:name w:val="WW8Num114z0"/>
    <w:qFormat/>
    <w:rPr/>
  </w:style>
  <w:style w:type="character" w:styleId="WW8Num115z0">
    <w:name w:val="WW8Num115z0"/>
    <w:qFormat/>
    <w:rPr/>
  </w:style>
  <w:style w:type="character" w:styleId="WW8Num117z0">
    <w:name w:val="WW8Num117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 w:hAnsi="Times New Roman" w:cs="Times New Roman"/>
      <w:sz w:val="16"/>
    </w:rPr>
  </w:style>
  <w:style w:type="paragraph" w:styleId="BlockText">
    <w:name w:val="Block Text"/>
    <w:basedOn w:val="Normal"/>
    <w:qFormat/>
    <w:pPr>
      <w:ind w:hanging="0" w:start="1440" w:end="-54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2001-04-17T19:25:00Z</dcterms:created>
  <dc:creator>kyoung</dc:creator>
  <dc:description/>
  <dc:language>en-CA</dc:language>
  <cp:lastModifiedBy>jelbert</cp:lastModifiedBy>
  <cp:lastPrinted>2001-04-17T19:14:00Z</cp:lastPrinted>
  <dcterms:modified xsi:type="dcterms:W3CDTF">2001-04-17T21:44:00Z</dcterms:modified>
  <cp:revision>8</cp:revision>
  <dc:subject/>
  <dc:title>MEMO FORM</dc:title>
</cp:coreProperties>
</file>