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clear" w:pos="720"/>
          <w:tab w:val="left" w:pos="1344" w:leader="none"/>
          <w:tab w:val="left" w:pos="2160" w:leader="none"/>
          <w:tab w:val="left" w:pos="5106" w:leader="none"/>
          <w:tab w:val="left" w:pos="7254" w:leader="none"/>
        </w:tabs>
        <w:jc w:val="both"/>
        <w:rPr>
          <w:sz w:val="22"/>
        </w:rPr>
      </w:pPr>
      <w:r>
        <w:rPr>
          <w:sz w:val="22"/>
        </w:rPr>
      </w:r>
      <w:r>
        <w:br w:type="page"/>
      </w:r>
    </w:p>
    <w:p>
      <w:pPr>
        <w:pStyle w:val="Normal"/>
        <w:widowControl/>
        <w:numPr>
          <w:ilvl w:val="0"/>
          <w:numId w:val="0"/>
        </w:numPr>
        <w:tabs>
          <w:tab w:val="clear" w:pos="720"/>
          <w:tab w:val="left" w:pos="1344" w:leader="none"/>
          <w:tab w:val="left" w:pos="2160" w:leader="none"/>
          <w:tab w:val="left" w:pos="5106" w:leader="none"/>
          <w:tab w:val="left" w:pos="7254" w:leader="none"/>
        </w:tabs>
        <w:jc w:val="both"/>
        <w:rPr>
          <w:sz w:val="22"/>
        </w:rPr>
      </w:pPr>
      <w:r>
        <w:rPr>
          <w:sz w:val="22"/>
        </w:rPr>
      </w:r>
    </w:p>
    <w:p>
      <w:pPr>
        <w:sectPr>
          <w:headerReference w:type="default" r:id="rId2"/>
          <w:headerReference w:type="first" r:id="rId3"/>
          <w:footerReference w:type="default" r:id="rId4"/>
          <w:footerReference w:type="first" r:id="rId5"/>
          <w:type w:val="nextPage"/>
          <w:pgSz w:w="12240" w:h="15840"/>
          <w:pgMar w:left="720" w:right="720" w:gutter="0" w:header="432" w:top="488" w:footer="432" w:bottom="1008"/>
          <w:pgNumType w:start="1" w:fmt="decimal"/>
          <w:formProt w:val="false"/>
          <w:titlePg/>
          <w:textDirection w:val="lrTb"/>
          <w:docGrid w:type="default" w:linePitch="360" w:charSpace="0"/>
        </w:sectPr>
      </w:pPr>
    </w:p>
    <w:p>
      <w:pPr>
        <w:pStyle w:val="Normal"/>
        <w:widowControl/>
        <w:tabs>
          <w:tab w:val="clear" w:pos="720"/>
          <w:tab w:val="left" w:pos="1344" w:leader="none"/>
          <w:tab w:val="left" w:pos="2160" w:leader="none"/>
          <w:tab w:val="left" w:pos="5106" w:leader="none"/>
          <w:tab w:val="left" w:pos="7254" w:leader="none"/>
        </w:tabs>
        <w:jc w:val="both"/>
        <w:rPr>
          <w:sz w:val="22"/>
        </w:rPr>
      </w:pPr>
      <w:r>
        <w:rPr>
          <w:sz w:val="22"/>
        </w:rPr>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North America Corp. Legal Department</w:t>
      </w:r>
    </w:p>
    <w:p>
      <w:pPr>
        <w:pStyle w:val="Normal"/>
        <w:widowControl/>
        <w:tabs>
          <w:tab w:val="clear" w:pos="720"/>
          <w:tab w:val="left" w:pos="1344" w:leader="none"/>
          <w:tab w:val="left" w:pos="5106" w:leader="none"/>
          <w:tab w:val="left" w:pos="7254" w:leader="none"/>
        </w:tabs>
        <w:jc w:val="center"/>
        <w:rPr>
          <w:rFonts w:ascii="Arial Rounded MT Bold" w:hAnsi="Arial Rounded MT Bold" w:cs="Arial Rounded MT Bold"/>
          <w:sz w:val="22"/>
        </w:rPr>
      </w:pPr>
      <w:r>
        <w:rPr>
          <w:rFonts w:cs="Arial Rounded MT Bold" w:ascii="Arial Rounded MT Bold" w:hAnsi="Arial Rounded MT Bold"/>
          <w:sz w:val="22"/>
        </w:rPr>
        <w:t>Monthly Report</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t>October, 2000</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344" w:leader="none"/>
          <w:tab w:val="left" w:pos="5106" w:leader="none"/>
          <w:tab w:val="left" w:pos="7254" w:leader="none"/>
        </w:tabs>
        <w:jc w:val="center"/>
        <w:rPr>
          <w:rFonts w:ascii="Arial Rounded MT Bold" w:hAnsi="Arial Rounded MT Bold" w:cs="Arial Rounded MT Bold"/>
          <w:sz w:val="22"/>
        </w:rPr>
      </w:pPr>
      <w:r>
        <w:rPr>
          <w:rFonts w:cs="Arial Rounded MT Bold" w:ascii="Arial Rounded MT Bold" w:hAnsi="Arial Rounded MT Bold"/>
          <w:sz w:val="22"/>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 w:ascii="Times New Roman" w:hAnsi="Times New Roman"/>
          <w:sz w:val="16"/>
        </w:rPr>
        <w:t>activities</w:t>
      </w:r>
      <w:r>
        <w:rPr>
          <w:sz w:val="16"/>
        </w:rPr>
        <w:t xml:space="preserve"> of ENA as of October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ind w:start="180" w:end="-630"/>
        <w:rPr>
          <w:rFonts w:ascii="Times New Roman" w:hAnsi="Times New Roman" w:cs="Times New Roman"/>
          <w:sz w:val="18"/>
        </w:rPr>
      </w:pPr>
      <w:r>
        <w:rPr>
          <w:rFonts w:cs="Times New Roman" w:ascii="Times New Roman" w:hAnsi="Times New Roman"/>
          <w:sz w:val="18"/>
        </w:rPr>
      </w:r>
    </w:p>
    <w:p>
      <w:pPr>
        <w:pStyle w:val="Normal"/>
        <w:widowControl/>
        <w:tabs>
          <w:tab w:val="clear" w:pos="720"/>
          <w:tab w:val="left" w:pos="1344"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clear" w:pos="720"/>
          <w:tab w:val="left" w:pos="1344" w:leader="none"/>
          <w:tab w:val="left" w:pos="5106" w:leader="none"/>
          <w:tab w:val="left" w:pos="7254" w:leader="none"/>
        </w:tabs>
        <w:rPr/>
      </w:pPr>
      <w:r>
        <w:rPr>
          <w:rFonts w:cs="Arial Rounded MT Bold" w:ascii="Arial Rounded MT Bold" w:hAnsi="Arial Rounded MT Bold"/>
          <w:sz w:val="22"/>
        </w:rPr>
        <w:t>Trading</w:t>
      </w:r>
      <w:r>
        <w:rPr>
          <w:rFonts w:cs="Times New Roman" w:ascii="Times New Roman" w:hAnsi="Times New Roman"/>
          <w:sz w:val="22"/>
        </w:rPr>
        <w:t xml:space="preserve"> </w:t>
      </w:r>
    </w:p>
    <w:p>
      <w:pPr>
        <w:pStyle w:val="Normal"/>
        <w:widowControl/>
        <w:tabs>
          <w:tab w:val="left" w:pos="720" w:leader="none"/>
          <w:tab w:val="left" w:pos="5106" w:leader="none"/>
          <w:tab w:val="left" w:pos="7254" w:leader="none"/>
        </w:tabs>
        <w:rPr/>
      </w:pPr>
      <w:r>
        <w:rPr>
          <w:rFonts w:cs="Times New Roman" w:ascii="Times New Roman" w:hAnsi="Times New Roman"/>
          <w:sz w:val="22"/>
        </w:rPr>
        <w:tab/>
      </w:r>
      <w:r>
        <w:rPr>
          <w:rFonts w:cs="Times New Roman" w:ascii="Times New Roman" w:hAnsi="Times New Roman"/>
          <w:b/>
          <w:sz w:val="22"/>
          <w:u w:val="single"/>
        </w:rPr>
        <w:t xml:space="preserve">Physical Gas and Power </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3"/>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Power Contract Revision Project</w:t>
      </w:r>
    </w:p>
    <w:p>
      <w:pPr>
        <w:pStyle w:val="Normal"/>
        <w:ind w:start="1080" w:end="0"/>
        <w:rPr>
          <w:rFonts w:ascii="Times New Roman" w:hAnsi="Times New Roman" w:cs="Times New Roman"/>
        </w:rPr>
      </w:pPr>
      <w:r>
        <w:rPr>
          <w:rFonts w:cs="Times New Roman" w:ascii="Times New Roman" w:hAnsi="Times New Roman"/>
        </w:rPr>
        <w:t xml:space="preserve">-  Kevin Presto/Elizabeth Sager/Jeff Hodge </w:t>
      </w:r>
    </w:p>
    <w:p>
      <w:pPr>
        <w:pStyle w:val="Normal"/>
        <w:tabs>
          <w:tab w:val="clear" w:pos="720"/>
          <w:tab w:val="left" w:pos="1440" w:leader="none"/>
        </w:tabs>
        <w:ind w:start="1080" w:end="0"/>
        <w:rPr>
          <w:rFonts w:ascii="Times New Roman" w:hAnsi="Times New Roman" w:cs="Times New Roman"/>
        </w:rPr>
      </w:pPr>
      <w:r>
        <w:rPr>
          <w:rFonts w:cs="Times New Roman" w:ascii="Times New Roman" w:hAnsi="Times New Roman"/>
        </w:rPr>
        <w:t>-  Update: EPMI is reviewing certain high exposure power contracts for revision and conversion to EEI from contracts</w:t>
      </w:r>
    </w:p>
    <w:p>
      <w:pPr>
        <w:pStyle w:val="Normal"/>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Blue Range Resources Corp.</w:t>
      </w:r>
    </w:p>
    <w:p>
      <w:pPr>
        <w:pStyle w:val="Normal"/>
        <w:ind w:start="1080" w:end="0"/>
        <w:rPr>
          <w:rFonts w:ascii="Times New Roman" w:hAnsi="Times New Roman" w:cs="Times New Roman"/>
        </w:rPr>
      </w:pPr>
      <w:r>
        <w:rPr>
          <w:rFonts w:cs="Times New Roman" w:ascii="Times New Roman" w:hAnsi="Times New Roman"/>
        </w:rPr>
        <w:t>-  John Lavorato/Peter Keohane (Blake, Cassels &amp; Gradyon)</w:t>
      </w:r>
    </w:p>
    <w:p>
      <w:pPr>
        <w:pStyle w:val="Normal"/>
        <w:ind w:hanging="180" w:start="1260" w:end="0"/>
        <w:rPr>
          <w:rFonts w:ascii="Times New Roman" w:hAnsi="Times New Roman" w:cs="Times New Roman"/>
        </w:rPr>
      </w:pPr>
      <w:r>
        <w:rPr>
          <w:rFonts w:cs="Times New Roman" w:ascii="Times New Roman" w:hAnsi="Times New Roman"/>
        </w:rPr>
        <w:t>-  Update: Enron Canada’s claim was allowed; the court determined that the physical master was not a “financial services” contract; Enron Canada appealing; Enron Canada has received approximately 75% of its claim</w:t>
      </w:r>
    </w:p>
    <w:p>
      <w:pPr>
        <w:pStyle w:val="Normal"/>
        <w:rPr/>
      </w:pPr>
      <w:r>
        <w:rPr/>
      </w:r>
    </w:p>
    <w:p>
      <w:pPr>
        <w:pStyle w:val="Normal"/>
        <w:numPr>
          <w:ilvl w:val="0"/>
          <w:numId w:val="3"/>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Gas Contract Revision Project</w:t>
      </w:r>
    </w:p>
    <w:p>
      <w:pPr>
        <w:pStyle w:val="Normal"/>
        <w:ind w:start="1080" w:end="0"/>
        <w:rPr>
          <w:rFonts w:ascii="Times New Roman" w:hAnsi="Times New Roman" w:cs="Times New Roman"/>
        </w:rPr>
      </w:pPr>
      <w:r>
        <w:rPr>
          <w:rFonts w:cs="Times New Roman" w:ascii="Times New Roman" w:hAnsi="Times New Roman"/>
        </w:rPr>
        <w:t xml:space="preserve">-  Brent Price/Jeff Hodge/Stacy Dickson </w:t>
      </w:r>
    </w:p>
    <w:p>
      <w:pPr>
        <w:pStyle w:val="Normal"/>
        <w:tabs>
          <w:tab w:val="clear" w:pos="720"/>
          <w:tab w:val="left" w:pos="1440" w:leader="none"/>
        </w:tabs>
        <w:ind w:start="1080" w:end="0"/>
        <w:rPr>
          <w:rFonts w:ascii="Times New Roman" w:hAnsi="Times New Roman" w:cs="Times New Roman"/>
        </w:rPr>
      </w:pPr>
      <w:r>
        <w:rPr>
          <w:rFonts w:cs="Times New Roman" w:ascii="Times New Roman" w:hAnsi="Times New Roman"/>
        </w:rPr>
        <w:t>-  Update: ENA is reviewing certain high volume trading contracts for possible revision</w:t>
      </w:r>
    </w:p>
    <w:p>
      <w:pPr>
        <w:pStyle w:val="Normal"/>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Duke Energy LNG Sales, Inc.</w:t>
      </w:r>
    </w:p>
    <w:p>
      <w:pPr>
        <w:pStyle w:val="Normal"/>
        <w:ind w:start="1080" w:end="0"/>
        <w:rPr>
          <w:rFonts w:ascii="Times New Roman" w:hAnsi="Times New Roman" w:cs="Times New Roman"/>
        </w:rPr>
      </w:pPr>
      <w:r>
        <w:rPr>
          <w:rFonts w:cs="Times New Roman" w:ascii="Times New Roman" w:hAnsi="Times New Roman"/>
        </w:rPr>
        <w:t>-  Janet Dietrich/Jeff Hodge/Richard Sanders (Susman &amp; Godfrey)</w:t>
      </w:r>
    </w:p>
    <w:p>
      <w:pPr>
        <w:pStyle w:val="Normal"/>
        <w:tabs>
          <w:tab w:val="clear" w:pos="720"/>
          <w:tab w:val="left" w:pos="1440" w:leader="none"/>
        </w:tabs>
        <w:ind w:start="1080" w:end="0"/>
        <w:rPr>
          <w:rFonts w:ascii="Times New Roman" w:hAnsi="Times New Roman" w:cs="Times New Roman"/>
        </w:rPr>
      </w:pPr>
      <w:r>
        <w:rPr>
          <w:rFonts w:cs="Times New Roman" w:ascii="Times New Roman" w:hAnsi="Times New Roman"/>
        </w:rPr>
        <w:t>-  Update:  Contract negotiation regarding revising a long-term gas contract</w:t>
      </w:r>
    </w:p>
    <w:p>
      <w:pPr>
        <w:pStyle w:val="Normal"/>
        <w:tabs>
          <w:tab w:val="clear" w:pos="720"/>
          <w:tab w:val="left" w:pos="1440" w:leader="none"/>
        </w:tabs>
        <w:ind w:start="1080" w:end="0"/>
        <w:rPr>
          <w:rFonts w:ascii="Times New Roman" w:hAnsi="Times New Roman" w:cs="Times New Roman"/>
        </w:rPr>
      </w:pPr>
      <w:r>
        <w:rPr>
          <w:rFonts w:cs="Times New Roman" w:ascii="Times New Roman" w:hAnsi="Times New Roman"/>
        </w:rPr>
      </w:r>
    </w:p>
    <w:p>
      <w:pPr>
        <w:pStyle w:val="Heading2"/>
        <w:widowControl/>
        <w:ind w:start="0" w:end="0"/>
        <w:rPr>
          <w:rFonts w:ascii="Arial Rounded MT Bold" w:hAnsi="Arial Rounded MT Bold" w:cs="Arial Rounded MT Bold"/>
          <w:bCs/>
          <w:u w:val="none"/>
        </w:rPr>
      </w:pPr>
      <w:r>
        <w:rPr>
          <w:rFonts w:cs="Arial Rounded MT Bold" w:ascii="Arial Rounded MT Bold" w:hAnsi="Arial Rounded MT Bold"/>
          <w:bCs/>
          <w:u w:val="none"/>
        </w:rPr>
        <w:t xml:space="preserve">Trading </w:t>
      </w:r>
    </w:p>
    <w:p>
      <w:pPr>
        <w:pStyle w:val="Heading2"/>
        <w:widowControl/>
        <w:rPr>
          <w:b/>
        </w:rPr>
      </w:pPr>
      <w:r>
        <w:rPr>
          <w:b/>
        </w:rPr>
        <w:t>Financial</w:t>
      </w:r>
    </w:p>
    <w:p>
      <w:pPr>
        <w:pStyle w:val="Normal"/>
        <w:ind w:start="720" w:end="0"/>
        <w:rPr>
          <w:b/>
        </w:rPr>
      </w:pPr>
      <w:r>
        <w:rPr>
          <w:b/>
        </w:rPr>
      </w:r>
    </w:p>
    <w:p>
      <w:pPr>
        <w:pStyle w:val="Normal"/>
        <w:numPr>
          <w:ilvl w:val="0"/>
          <w:numId w:val="8"/>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Agricultural/Commodities Trading</w:t>
      </w:r>
    </w:p>
    <w:p>
      <w:pPr>
        <w:pStyle w:val="Normal"/>
        <w:ind w:hanging="1080" w:start="2160" w:end="0"/>
        <w:rPr>
          <w:rFonts w:ascii="Times New Roman" w:hAnsi="Times New Roman" w:cs="Times New Roman"/>
        </w:rPr>
      </w:pPr>
      <w:r>
        <w:rPr>
          <w:rFonts w:cs="Times New Roman" w:ascii="Times New Roman" w:hAnsi="Times New Roman"/>
        </w:rPr>
        <w:t>-  Gary Henderson/Greg Whalley/Sara Shackleton/Robert Bruce</w:t>
      </w:r>
    </w:p>
    <w:p>
      <w:pPr>
        <w:pStyle w:val="EndnoteText"/>
        <w:numPr>
          <w:ilvl w:val="1"/>
          <w:numId w:val="8"/>
        </w:numPr>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t>Update:  Initial research regarding physical and financial trading of agricultural commodities</w:t>
      </w:r>
    </w:p>
    <w:p>
      <w:pPr>
        <w:pStyle w:val="EndnoteText"/>
        <w:tabs>
          <w:tab w:val="clear" w:pos="720"/>
          <w:tab w:val="left" w:pos="1080" w:leader="none"/>
          <w:tab w:val="left" w:pos="1800" w:leader="none"/>
        </w:tabs>
        <w:rPr>
          <w:rFonts w:ascii="Times New Roman" w:hAnsi="Times New Roman" w:cs="Times New Roman"/>
        </w:rPr>
      </w:pPr>
      <w:r>
        <w:rPr>
          <w:rFonts w:cs="Times New Roman" w:ascii="Times New Roman" w:hAnsi="Times New Roman"/>
        </w:rPr>
      </w:r>
    </w:p>
    <w:p>
      <w:pPr>
        <w:pStyle w:val="EndnoteText"/>
        <w:tabs>
          <w:tab w:val="left" w:pos="720" w:leader="none"/>
          <w:tab w:val="left" w:pos="1080" w:leader="none"/>
          <w:tab w:val="left" w:pos="1800" w:leader="none"/>
        </w:tabs>
        <w:rPr/>
      </w:pPr>
      <w:r>
        <w:rPr/>
        <w:tab/>
        <w:t>2.</w:t>
        <w:tab/>
      </w:r>
      <w:r>
        <w:rPr>
          <w:rFonts w:cs="Times New Roman" w:ascii="Times New Roman" w:hAnsi="Times New Roman"/>
        </w:rPr>
        <w:t>Online Trading – North America</w:t>
      </w:r>
    </w:p>
    <w:p>
      <w:pPr>
        <w:pStyle w:val="Normal"/>
        <w:ind w:hanging="1080" w:start="2160" w:end="0"/>
        <w:rPr>
          <w:rFonts w:ascii="Times New Roman" w:hAnsi="Times New Roman" w:cs="Times New Roman"/>
        </w:rPr>
      </w:pPr>
      <w:r>
        <w:rPr>
          <w:rFonts w:cs="Times New Roman" w:ascii="Times New Roman" w:hAnsi="Times New Roman"/>
        </w:rPr>
        <w:t>-  Louise Kitchen/Mark Taylor/Leslie Hansen (Sullivan &amp; Cromwell)</w:t>
      </w:r>
    </w:p>
    <w:p>
      <w:pPr>
        <w:pStyle w:val="EndnoteText"/>
        <w:tabs>
          <w:tab w:val="clear" w:pos="720"/>
          <w:tab w:val="left" w:pos="1080" w:leader="none"/>
          <w:tab w:val="left" w:pos="1800" w:leader="none"/>
        </w:tabs>
        <w:ind w:hanging="1260" w:start="1260" w:end="0"/>
        <w:rPr>
          <w:rFonts w:ascii="Times New Roman" w:hAnsi="Times New Roman" w:cs="Times New Roman"/>
        </w:rPr>
      </w:pPr>
      <w:r>
        <w:rPr>
          <w:rFonts w:cs="Times New Roman" w:ascii="Times New Roman" w:hAnsi="Times New Roman"/>
        </w:rPr>
        <w:tab/>
        <w:t>-  Update: Review of content for proposed second phase of website; negotiating exceptions to standard online forms and approving language and documentation for new products</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4"/>
        </w:numPr>
        <w:rPr>
          <w:rFonts w:ascii="Times New Roman" w:hAnsi="Times New Roman" w:cs="Times New Roman"/>
        </w:rPr>
      </w:pPr>
      <w:r>
        <w:rPr>
          <w:rFonts w:cs="Times New Roman" w:ascii="Times New Roman" w:hAnsi="Times New Roman"/>
        </w:rPr>
        <w:t>Commodity Exchange Act</w:t>
      </w:r>
    </w:p>
    <w:p>
      <w:pPr>
        <w:pStyle w:val="Normal"/>
        <w:ind w:hanging="1080" w:start="2160" w:end="0"/>
        <w:rPr>
          <w:rFonts w:ascii="Times New Roman" w:hAnsi="Times New Roman" w:cs="Times New Roman"/>
        </w:rPr>
      </w:pPr>
      <w:r>
        <w:rPr>
          <w:rFonts w:cs="Times New Roman" w:ascii="Times New Roman" w:hAnsi="Times New Roman"/>
        </w:rPr>
        <w:t>-  John Lavorato/Mark Haedicke/Mark Taylor (Sullivan &amp; Cromwell)</w:t>
      </w:r>
    </w:p>
    <w:p>
      <w:pPr>
        <w:pStyle w:val="EndnoteText"/>
        <w:numPr>
          <w:ilvl w:val="1"/>
          <w:numId w:val="8"/>
        </w:numPr>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t>Update: Monitoring legislative developments and lobbying in connection with proposed revision of the Commodity Exchange Act</w:t>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r>
    </w:p>
    <w:p>
      <w:pPr>
        <w:pStyle w:val="Normal"/>
        <w:widowControl/>
        <w:tabs>
          <w:tab w:val="left" w:pos="720"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t>Mergers &amp; Acquisitions/Investments/Energy Capital</w:t>
      </w:r>
    </w:p>
    <w:p>
      <w:pPr>
        <w:pStyle w:val="Normal"/>
        <w:widowControl/>
        <w:tabs>
          <w:tab w:val="left" w:pos="720"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r>
    </w:p>
    <w:p>
      <w:pPr>
        <w:pStyle w:val="Normal"/>
        <w:keepLines/>
        <w:widowControl/>
        <w:numPr>
          <w:ilvl w:val="0"/>
          <w:numId w:val="2"/>
        </w:numPr>
        <w:tabs>
          <w:tab w:val="clear" w:pos="720"/>
          <w:tab w:val="left" w:pos="1260" w:leader="none"/>
        </w:tabs>
        <w:jc w:val="both"/>
        <w:rPr>
          <w:rFonts w:ascii="Times New Roman" w:hAnsi="Times New Roman" w:cs="Times New Roman"/>
        </w:rPr>
      </w:pPr>
      <w:r>
        <w:rPr>
          <w:rFonts w:cs="Times New Roman" w:ascii="Times New Roman" w:hAnsi="Times New Roman"/>
        </w:rPr>
        <w:t>NG Resources/ Millenium – LLC investment and volumetric production payment</w:t>
      </w:r>
    </w:p>
    <w:p>
      <w:pPr>
        <w:pStyle w:val="BodyText"/>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Julia Murray/ Teresa Bushman</w:t>
      </w:r>
    </w:p>
    <w:p>
      <w:pPr>
        <w:pStyle w:val="BodyText"/>
        <w:keepLines/>
        <w:widowControl/>
        <w:numPr>
          <w:ilvl w:val="0"/>
          <w:numId w:val="5"/>
        </w:numPr>
        <w:tabs>
          <w:tab w:val="clear" w:pos="720"/>
          <w:tab w:val="left" w:pos="1260" w:leader="none"/>
        </w:tabs>
        <w:rPr/>
      </w:pPr>
      <w:r>
        <w:rPr>
          <w:rFonts w:cs="Times New Roman" w:ascii="Times New Roman" w:hAnsi="Times New Roman"/>
        </w:rPr>
        <w:t>Update</w:t>
      </w:r>
      <w:r>
        <w:rPr/>
        <w:t xml:space="preserve">: </w:t>
      </w:r>
      <w:r>
        <w:rPr>
          <w:rFonts w:cs="Times New Roman" w:ascii="Times New Roman" w:hAnsi="Times New Roman"/>
        </w:rPr>
        <w:t>Closed equity; production payment to close 3</w:t>
      </w:r>
      <w:r>
        <w:rPr>
          <w:rFonts w:cs="Times New Roman" w:ascii="Times New Roman" w:hAnsi="Times New Roman"/>
          <w:vertAlign w:val="superscript"/>
        </w:rPr>
        <w:t>rd</w:t>
      </w:r>
      <w:r>
        <w:rPr>
          <w:rFonts w:cs="Times New Roman" w:ascii="Times New Roman" w:hAnsi="Times New Roman"/>
        </w:rPr>
        <w:t xml:space="preserve"> quarter 2000</w:t>
      </w:r>
    </w:p>
    <w:p>
      <w:pPr>
        <w:pStyle w:val="BodyText"/>
        <w:keepLines/>
        <w:widowControl/>
        <w:tabs>
          <w:tab w:val="clear" w:pos="720"/>
          <w:tab w:val="left" w:pos="1260" w:leader="none"/>
        </w:tabs>
        <w:ind w:start="1080" w:end="0"/>
        <w:rPr/>
      </w:pPr>
      <w:r>
        <w:rPr/>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2.</w:t>
        <w:tab/>
        <w:t>QF Restructurings – Continue to work on numerous QF restructurings</w:t>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Dan Lyons/ Karen Jones</w:t>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Update:  Transactions at varying stages of completion</w:t>
      </w:r>
    </w:p>
    <w:p>
      <w:pPr>
        <w:pStyle w:val="BodyText"/>
        <w:widowControl/>
        <w:tabs>
          <w:tab w:val="clear" w:pos="720"/>
          <w:tab w:val="left" w:pos="1260" w:leader="none"/>
        </w:tabs>
        <w:ind w:start="72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3.</w:t>
        <w:tab/>
        <w:t>Acquisition Transactions – Continue to work on acquisitions, primarily of companies owning interests in power generation facilities</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Lance Schuler</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Transactions in varying states of completion</w:t>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4.</w:t>
        <w:tab/>
        <w:t>NStar – 4-5 year all requirements power supply transaction</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Chris Gaffney/Elizabeth Sager</w:t>
      </w:r>
    </w:p>
    <w:p>
      <w:pPr>
        <w:pStyle w:val="BodyText"/>
        <w:widowControl/>
        <w:numPr>
          <w:ilvl w:val="0"/>
          <w:numId w:val="5"/>
        </w:numPr>
        <w:tabs>
          <w:tab w:val="clear" w:pos="720"/>
          <w:tab w:val="left" w:pos="1260" w:leader="none"/>
        </w:tabs>
        <w:ind w:hanging="180" w:start="1260" w:end="0"/>
        <w:rPr>
          <w:rFonts w:ascii="Times New Roman" w:hAnsi="Times New Roman" w:cs="Times New Roman"/>
        </w:rPr>
      </w:pPr>
      <w:r>
        <w:rPr>
          <w:rFonts w:cs="Times New Roman" w:ascii="Times New Roman" w:hAnsi="Times New Roman"/>
        </w:rPr>
        <w:t>Update:  Commercial negotiations have commenced and draft documentation will be circulated to the counterparty 9/29/000</w:t>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5.</w:t>
        <w:tab/>
        <w:t>Project Green Jacket – All requirements power supply and portfolio management transaction with Georgia co-ops</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Travis McCullough</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  Transaction in due diligence and structuring phase</w:t>
      </w:r>
    </w:p>
    <w:p>
      <w:pPr>
        <w:pStyle w:val="BodyText"/>
        <w:widowControl/>
        <w:tabs>
          <w:tab w:val="clear" w:pos="720"/>
          <w:tab w:val="left" w:pos="1260" w:leader="none"/>
        </w:tabs>
        <w:rPr>
          <w:rFonts w:ascii="Times New Roman" w:hAnsi="Times New Roman" w:cs="Times New Roman"/>
        </w:rPr>
      </w:pPr>
      <w:r>
        <w:rPr>
          <w:rFonts w:cs="Times New Roman" w:ascii="Times New Roman" w:hAnsi="Times New Roman"/>
        </w:rPr>
      </w:r>
    </w:p>
    <w:p>
      <w:pPr>
        <w:pStyle w:val="EndnoteText"/>
        <w:tabs>
          <w:tab w:val="clear" w:pos="720"/>
          <w:tab w:val="left" w:pos="1080" w:leader="none"/>
          <w:tab w:val="left" w:pos="1260" w:leader="none"/>
          <w:tab w:val="left" w:pos="1800" w:leader="none"/>
        </w:tabs>
        <w:ind w:start="720" w:end="0"/>
        <w:rPr>
          <w:rFonts w:ascii="Times New Roman" w:hAnsi="Times New Roman" w:cs="Times New Roman"/>
        </w:rPr>
      </w:pPr>
      <w:r>
        <w:rPr>
          <w:rFonts w:cs="Times New Roman" w:ascii="Times New Roman" w:hAnsi="Times New Roman"/>
        </w:rPr>
        <w:t>6.</w:t>
        <w:tab/>
        <w:t>HEOF II Matters – Continue to work on investments by HEOF II in various minority owned businesses</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Teresa Bushman/ Jim Grace</w:t>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ab/>
        <w:t>-</w:t>
        <w:tab/>
        <w:t>Update:  Transactions at varying stages of completion</w:t>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r>
    </w:p>
    <w:p>
      <w:pPr>
        <w:pStyle w:val="Normal"/>
        <w:tabs>
          <w:tab w:val="clear" w:pos="720"/>
          <w:tab w:val="left" w:pos="1080" w:leader="none"/>
        </w:tabs>
        <w:rPr>
          <w:rFonts w:ascii="Arial Rounded MT Bold" w:hAnsi="Arial Rounded MT Bold" w:cs="Arial Rounded MT Bold"/>
          <w:sz w:val="22"/>
        </w:rPr>
      </w:pPr>
      <w:r>
        <w:rPr>
          <w:rFonts w:cs="Arial Rounded MT Bold" w:ascii="Arial Rounded MT Bold" w:hAnsi="Arial Rounded MT Bold"/>
          <w:sz w:val="22"/>
        </w:rPr>
        <w:t xml:space="preserve">East and Upstream Origination </w:t>
      </w:r>
    </w:p>
    <w:p>
      <w:pPr>
        <w:pStyle w:val="Normal"/>
        <w:tabs>
          <w:tab w:val="clear" w:pos="720"/>
          <w:tab w:val="left" w:pos="1080" w:leader="none"/>
        </w:tabs>
        <w:ind w:firstLine="540" w:end="0"/>
        <w:rPr>
          <w:rFonts w:ascii="Arial Rounded MT Bold" w:hAnsi="Arial Rounded MT Bold" w:cs="Arial Rounded MT Bold"/>
          <w:sz w:val="22"/>
        </w:rPr>
      </w:pPr>
      <w:r>
        <w:rPr>
          <w:rFonts w:cs="Arial Rounded MT Bold" w:ascii="Arial Rounded MT Bold" w:hAnsi="Arial Rounded MT Bold"/>
          <w:sz w:val="22"/>
        </w:rPr>
      </w:r>
    </w:p>
    <w:p>
      <w:pPr>
        <w:pStyle w:val="Normal"/>
        <w:keepNext w:val="true"/>
        <w:keepLines/>
        <w:widowControl/>
        <w:tabs>
          <w:tab w:val="clear" w:pos="720"/>
          <w:tab w:val="left" w:pos="1170" w:leader="none"/>
        </w:tabs>
        <w:ind w:hanging="360" w:start="1080" w:end="0"/>
        <w:jc w:val="both"/>
        <w:rPr>
          <w:rFonts w:ascii="Times New Roman" w:hAnsi="Times New Roman" w:cs="Times New Roman"/>
        </w:rPr>
      </w:pPr>
      <w:r>
        <w:rPr>
          <w:rFonts w:cs="Times New Roman" w:ascii="Times New Roman" w:hAnsi="Times New Roman"/>
        </w:rPr>
        <w:t>1.</w:t>
        <w:tab/>
        <w:t>Project 20/20 - Sale of Wyoming gathering assets/entities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 w:hAnsi="Times New Roman" w:cs="Times New Roman"/>
        </w:rPr>
      </w:pPr>
      <w:r>
        <w:rPr>
          <w:rFonts w:cs="Times New Roman" w:ascii="Times New Roman" w:hAnsi="Times New Roman"/>
        </w:rPr>
        <w:tab/>
        <w:t>-</w:t>
        <w:tab/>
        <w:t>Shonnie Daniel</w:t>
      </w:r>
    </w:p>
    <w:p>
      <w:pPr>
        <w:pStyle w:val="BodyText"/>
        <w:keepNext w:val="true"/>
        <w:keepLines/>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ab/>
        <w:t>-</w:t>
        <w:tab/>
        <w:t>Update: Project in term sheet stage</w:t>
      </w:r>
    </w:p>
    <w:p>
      <w:pPr>
        <w:pStyle w:val="BodyText"/>
        <w:keepNext w:val="true"/>
        <w:keepLines/>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Normal"/>
        <w:keepNext w:val="true"/>
        <w:keepLines/>
        <w:widowControl/>
        <w:numPr>
          <w:ilvl w:val="0"/>
          <w:numId w:val="2"/>
        </w:numPr>
        <w:tabs>
          <w:tab w:val="clear" w:pos="720"/>
          <w:tab w:val="left" w:pos="1260" w:leader="none"/>
        </w:tabs>
        <w:jc w:val="both"/>
        <w:rPr>
          <w:rFonts w:ascii="Times New Roman" w:hAnsi="Times New Roman" w:cs="Times New Roman"/>
        </w:rPr>
      </w:pPr>
      <w:r>
        <w:rPr>
          <w:rFonts w:cs="Times New Roman" w:ascii="Times New Roman" w:hAnsi="Times New Roman"/>
        </w:rPr>
        <w:t>NEWCO</w:t>
      </w:r>
      <w:r>
        <w:rPr>
          <w:rFonts w:cs="Times New Roman" w:ascii="Times New Roman" w:hAnsi="Times New Roman"/>
          <w:vertAlign w:val="subscript"/>
        </w:rPr>
        <w:t xml:space="preserve">2 </w:t>
      </w:r>
      <w:r>
        <w:rPr>
          <w:rFonts w:cs="Times New Roman" w:ascii="Times New Roman" w:hAnsi="Times New Roman"/>
        </w:rPr>
        <w:t>- Purchase of interests in CO</w:t>
      </w:r>
      <w:r>
        <w:rPr>
          <w:rFonts w:cs="Times New Roman" w:ascii="Times New Roman" w:hAnsi="Times New Roman"/>
          <w:vertAlign w:val="subscript"/>
        </w:rPr>
        <w:t>2</w:t>
      </w:r>
      <w:r>
        <w:rPr>
          <w:rFonts w:cs="Times New Roman" w:ascii="Times New Roman" w:hAnsi="Times New Roman"/>
        </w:rPr>
        <w:t xml:space="preserve"> ventures</w:t>
      </w:r>
    </w:p>
    <w:p>
      <w:pPr>
        <w:pStyle w:val="Normal"/>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Shonnie Daniel</w:t>
      </w:r>
    </w:p>
    <w:p>
      <w:pPr>
        <w:pStyle w:val="Normal"/>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ab/>
        <w:t>-</w:t>
        <w:tab/>
        <w:t>Update:  Project in structuring phase</w:t>
      </w:r>
    </w:p>
    <w:p>
      <w:pPr>
        <w:pStyle w:val="Normal"/>
        <w:tabs>
          <w:tab w:val="clear" w:pos="720"/>
          <w:tab w:val="left" w:pos="1080" w:leader="none"/>
        </w:tabs>
        <w:ind w:firstLine="540" w:end="0"/>
        <w:rPr>
          <w:rFonts w:ascii="Times New Roman" w:hAnsi="Times New Roman" w:cs="Times New Roman"/>
        </w:rPr>
      </w:pPr>
      <w:r>
        <w:rPr>
          <w:rFonts w:cs="Times New Roman" w:ascii="Times New Roman" w:hAnsi="Times New Roman"/>
        </w:rPr>
      </w:r>
    </w:p>
    <w:p>
      <w:pPr>
        <w:pStyle w:val="Normal"/>
        <w:keepNext w:val="true"/>
        <w:keepLines/>
        <w:widowControl/>
        <w:numPr>
          <w:ilvl w:val="0"/>
          <w:numId w:val="2"/>
        </w:numPr>
        <w:tabs>
          <w:tab w:val="clear" w:pos="720"/>
          <w:tab w:val="left" w:pos="1260" w:leader="none"/>
        </w:tabs>
        <w:jc w:val="both"/>
        <w:rPr>
          <w:rFonts w:ascii="Times New Roman" w:hAnsi="Times New Roman" w:cs="Times New Roman"/>
        </w:rPr>
      </w:pPr>
      <w:r>
        <w:rPr>
          <w:rFonts w:cs="Times New Roman" w:ascii="Times New Roman" w:hAnsi="Times New Roman"/>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keepNext w:val="true"/>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  PPA finalized; interim agreement (re expenses) yet to be executed (expected execution 7/28/00)</w:t>
      </w:r>
    </w:p>
    <w:p>
      <w:pPr>
        <w:pStyle w:val="BodyText"/>
        <w:keepNext w:val="true"/>
        <w:keepLines/>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Normal"/>
        <w:keepNext w:val="true"/>
        <w:keepLines/>
        <w:widowControl/>
        <w:numPr>
          <w:ilvl w:val="0"/>
          <w:numId w:val="2"/>
        </w:numPr>
        <w:tabs>
          <w:tab w:val="clear" w:pos="720"/>
          <w:tab w:val="left" w:pos="1260" w:leader="none"/>
        </w:tabs>
        <w:jc w:val="both"/>
        <w:rPr>
          <w:rFonts w:ascii="Times New Roman" w:hAnsi="Times New Roman" w:cs="Times New Roman"/>
        </w:rPr>
      </w:pPr>
      <w:r>
        <w:rPr>
          <w:rFonts w:cs="Times New Roman" w:ascii="Times New Roman" w:hAnsi="Times New Roman"/>
        </w:rPr>
        <w:t>Lined Rock Cavern Gas Storage – Acquisition of IP rights to develop worldwide gas storage caverns</w:t>
      </w:r>
    </w:p>
    <w:p>
      <w:pPr>
        <w:pStyle w:val="Normal"/>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Steve Van Hooser</w:t>
      </w:r>
    </w:p>
    <w:p>
      <w:pPr>
        <w:pStyle w:val="Normal"/>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MOU to be executed</w:t>
      </w:r>
    </w:p>
    <w:p>
      <w:pPr>
        <w:pStyle w:val="BodyText"/>
        <w:keepNext w:val="true"/>
        <w:keepLines/>
        <w:widowControl/>
        <w:tabs>
          <w:tab w:val="clear" w:pos="720"/>
          <w:tab w:val="left" w:pos="1080" w:leader="none"/>
          <w:tab w:val="left" w:pos="1260" w:leader="none"/>
        </w:tabs>
        <w:ind w:hanging="360" w:end="0"/>
        <w:rPr>
          <w:rFonts w:ascii="Times New Roman" w:hAnsi="Times New Roman" w:cs="Times New Roman"/>
        </w:rPr>
      </w:pPr>
      <w:r>
        <w:rPr>
          <w:rFonts w:cs="Times New Roman" w:ascii="Times New Roman" w:hAnsi="Times New Roman"/>
        </w:rPr>
      </w:r>
    </w:p>
    <w:p>
      <w:pPr>
        <w:pStyle w:val="Normal"/>
        <w:keepNext w:val="true"/>
        <w:keepLines/>
        <w:widowControl/>
        <w:numPr>
          <w:ilvl w:val="0"/>
          <w:numId w:val="2"/>
        </w:numPr>
        <w:tabs>
          <w:tab w:val="clear" w:pos="720"/>
          <w:tab w:val="left" w:pos="1260" w:leader="none"/>
        </w:tabs>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keepNext w:val="true"/>
        <w:keepLines/>
        <w:widowControl/>
        <w:tabs>
          <w:tab w:val="clear" w:pos="720"/>
          <w:tab w:val="left" w:pos="-90" w:leader="none"/>
          <w:tab w:val="left" w:pos="90" w:leader="none"/>
          <w:tab w:val="left" w:pos="1080" w:leader="none"/>
          <w:tab w:val="left" w:pos="1260" w:leader="none"/>
        </w:tabs>
        <w:ind w:hanging="360" w:start="1080" w:end="0"/>
        <w:jc w:val="both"/>
        <w:rPr>
          <w:rFonts w:ascii="Times New Roman" w:hAnsi="Times New Roman" w:cs="Times New Roman"/>
        </w:rPr>
      </w:pPr>
      <w:r>
        <w:rPr>
          <w:rFonts w:cs="Times New Roman" w:ascii="Times New Roman" w:hAnsi="Times New Roman"/>
        </w:rPr>
        <w:tab/>
        <w:t>-</w:t>
        <w:tab/>
        <w:t>HPL Accounting Department</w:t>
        <w:tab/>
      </w:r>
    </w:p>
    <w:p>
      <w:pPr>
        <w:pStyle w:val="EndnoteText"/>
        <w:tabs>
          <w:tab w:val="clear" w:pos="720"/>
          <w:tab w:val="left" w:pos="1080" w:leader="none"/>
          <w:tab w:val="left" w:pos="1260" w:leader="none"/>
          <w:tab w:val="left" w:pos="1800" w:leader="none"/>
        </w:tabs>
        <w:rPr>
          <w:rFonts w:ascii="Times New Roman" w:hAnsi="Times New Roman" w:cs="Times New Roman"/>
        </w:rPr>
      </w:pPr>
      <w:r>
        <w:rPr>
          <w:rFonts w:cs="Times New Roman" w:ascii="Times New Roman" w:hAnsi="Times New Roman"/>
        </w:rPr>
        <w:tab/>
        <w:t>-</w:t>
        <w:tab/>
        <w:t>Update:  6/30/00 staff auditors of the RRC issued a letter finding various deficiencies in accounting systems</w:t>
      </w:r>
    </w:p>
    <w:p>
      <w:pPr>
        <w:pStyle w:val="Normal"/>
        <w:widowControl/>
        <w:tabs>
          <w:tab w:val="left" w:pos="720" w:leader="none"/>
          <w:tab w:val="left" w:pos="5106" w:leader="none"/>
          <w:tab w:val="left" w:pos="7254"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5106" w:leader="none"/>
          <w:tab w:val="left" w:pos="7254" w:leader="none"/>
        </w:tabs>
        <w:rPr/>
      </w:pPr>
      <w:r>
        <w:rPr>
          <w:rFonts w:cs="Arial Rounded MT Bold" w:ascii="Arial Rounded MT Bold" w:hAnsi="Arial Rounded MT Bold"/>
          <w:sz w:val="22"/>
        </w:rPr>
        <w:t>West Origination</w:t>
      </w:r>
      <w:r>
        <w:rPr>
          <w:rFonts w:cs="Times New Roman" w:ascii="Times New Roman" w:hAnsi="Times New Roman"/>
          <w:sz w:val="22"/>
        </w:rPr>
        <w:t xml:space="preserve"> </w:t>
      </w:r>
    </w:p>
    <w:p>
      <w:pPr>
        <w:pStyle w:val="Normal"/>
        <w:widowControl/>
        <w:tabs>
          <w:tab w:val="left" w:pos="720" w:leader="none"/>
          <w:tab w:val="left" w:pos="5106" w:leader="none"/>
          <w:tab w:val="left" w:pos="7254" w:leader="none"/>
        </w:tabs>
        <w:rPr>
          <w:rFonts w:ascii="Times New Roman" w:hAnsi="Times New Roman" w:cs="Times New Roman"/>
          <w:sz w:val="22"/>
        </w:rPr>
      </w:pPr>
      <w:r>
        <w:rPr>
          <w:rFonts w:cs="Times New Roman" w:ascii="Times New Roman" w:hAnsi="Times New Roman"/>
          <w:sz w:val="22"/>
        </w:rPr>
      </w:r>
    </w:p>
    <w:p>
      <w:pPr>
        <w:pStyle w:val="Normal"/>
        <w:keepNext w:val="true"/>
        <w:keepLines/>
        <w:widowControl/>
        <w:numPr>
          <w:ilvl w:val="0"/>
          <w:numId w:val="7"/>
        </w:numPr>
        <w:tabs>
          <w:tab w:val="clear" w:pos="720"/>
          <w:tab w:val="left" w:pos="1080" w:leader="none"/>
          <w:tab w:val="left" w:pos="1260" w:leader="none"/>
        </w:tabs>
        <w:ind w:hanging="360" w:start="1080" w:end="0"/>
        <w:jc w:val="both"/>
        <w:rPr>
          <w:rFonts w:ascii="Times New Roman" w:hAnsi="Times New Roman" w:cs="Times New Roman"/>
        </w:rPr>
      </w:pPr>
      <w:r>
        <w:rPr>
          <w:rFonts w:cs="Times New Roman" w:ascii="Times New Roman" w:hAnsi="Times New Roman"/>
        </w:rPr>
        <w:t>Off balance sheet financing and equity sell-down of 1999 and 2000 peakers power plants and 2001 development projects</w:t>
      </w:r>
    </w:p>
    <w:p>
      <w:pPr>
        <w:pStyle w:val="BodyText"/>
        <w:keepNext w:val="true"/>
        <w:keepLines/>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keepNext w:val="true"/>
        <w:keepLines/>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  Data room has been established and potential counterparties identified</w:t>
      </w:r>
    </w:p>
    <w:p>
      <w:pPr>
        <w:pStyle w:val="BodyText"/>
        <w:keepNext w:val="true"/>
        <w:keepLines/>
        <w:widowControl/>
        <w:tabs>
          <w:tab w:val="clear" w:pos="720"/>
          <w:tab w:val="left" w:pos="1260" w:leader="none"/>
        </w:tabs>
        <w:ind w:start="1080" w:end="0"/>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2.</w:t>
        <w:tab/>
        <w:t>Development of Pastoria Energy Facility – 750 MW combined cycle plant in southern California</w:t>
      </w:r>
    </w:p>
    <w:p>
      <w:pPr>
        <w:pStyle w:val="Normal"/>
        <w:widowControl/>
        <w:tabs>
          <w:tab w:val="clear" w:pos="720"/>
          <w:tab w:val="left" w:pos="1080" w:leader="none"/>
          <w:tab w:val="left" w:pos="1260" w:leader="none"/>
        </w:tabs>
        <w:ind w:start="720" w:end="0"/>
        <w:jc w:val="both"/>
        <w:rPr>
          <w:rFonts w:ascii="Times New Roman" w:hAnsi="Times New Roman" w:cs="Times New Roman"/>
        </w:rPr>
      </w:pPr>
      <w:r>
        <w:rPr>
          <w:rFonts w:cs="Times New Roman" w:ascii="Times New Roman" w:hAnsi="Times New Roman"/>
        </w:rPr>
        <w:tab/>
        <w:t>-</w:t>
        <w:tab/>
        <w:t>Karen Jones/Sheila Tweed</w:t>
      </w:r>
    </w:p>
    <w:p>
      <w:pPr>
        <w:pStyle w:val="Normal"/>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Finalizing outstanding requirements of the California Energy Commission for permits that are expected to be</w:t>
      </w:r>
    </w:p>
    <w:p>
      <w:pPr>
        <w:pStyle w:val="Normal"/>
        <w:widowControl/>
        <w:tabs>
          <w:tab w:val="clear" w:pos="720"/>
          <w:tab w:val="left" w:pos="1080" w:leader="none"/>
          <w:tab w:val="left" w:pos="1260" w:leader="none"/>
        </w:tabs>
        <w:ind w:start="1080" w:end="0"/>
        <w:rPr>
          <w:rFonts w:ascii="Times New Roman" w:hAnsi="Times New Roman" w:cs="Times New Roman"/>
        </w:rPr>
      </w:pPr>
      <w:r>
        <w:rPr>
          <w:rFonts w:cs="Times New Roman" w:ascii="Times New Roman" w:hAnsi="Times New Roman"/>
        </w:rPr>
        <w:tab/>
        <w:t>received by 12/2000</w:t>
      </w:r>
    </w:p>
    <w:p>
      <w:pPr>
        <w:pStyle w:val="BodyText"/>
        <w:widowControl/>
        <w:tabs>
          <w:tab w:val="clear" w:pos="720"/>
          <w:tab w:val="left" w:pos="1260" w:leader="none"/>
        </w:tabs>
        <w:ind w:start="720" w:end="0"/>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3.</w:t>
        <w:tab/>
        <w:t>Expansion of Linden Power Plant (East Coast Power) and LV Cogen Plant.</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Lisa Mellencamp/Dale Rasmussen</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  Negotiation of agreements for the construction and the permitting of expansions underway</w:t>
      </w:r>
    </w:p>
    <w:p>
      <w:pPr>
        <w:pStyle w:val="BodyText"/>
        <w:widowControl/>
        <w:tabs>
          <w:tab w:val="clear" w:pos="720"/>
          <w:tab w:val="left" w:pos="1260" w:leader="none"/>
        </w:tabs>
        <w:rPr>
          <w:rFonts w:ascii="Times New Roman" w:hAnsi="Times New Roman" w:cs="Times New Roman"/>
        </w:rPr>
      </w:pPr>
      <w:r>
        <w:rPr>
          <w:rFonts w:cs="Times New Roman" w:ascii="Times New Roman" w:hAnsi="Times New Roman"/>
        </w:rPr>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t>4.</w:t>
        <w:tab/>
        <w:t>Development of multiple sites for power plant development in Florida, Washington, Colorado, Louisiana, Georgia and Missouri</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Bob Carter/Bart Clark/Kay Mann/Karen Jones/Al Larsen</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  Acquiring sites, turbines and getting permits for 5 to 7 projects</w:t>
      </w:r>
    </w:p>
    <w:p>
      <w:pPr>
        <w:pStyle w:val="BodyText"/>
        <w:widowControl/>
        <w:tabs>
          <w:tab w:val="clear" w:pos="720"/>
          <w:tab w:val="left" w:pos="1260" w:leader="none"/>
        </w:tabs>
        <w:ind w:hanging="360" w:start="1080" w:end="0"/>
        <w:rPr>
          <w:rFonts w:ascii="Times New Roman" w:hAnsi="Times New Roman" w:cs="Times New Roman"/>
        </w:rPr>
      </w:pPr>
      <w:r>
        <w:rPr>
          <w:rFonts w:cs="Times New Roman" w:ascii="Times New Roman" w:hAnsi="Times New Roman"/>
        </w:rPr>
      </w:r>
    </w:p>
    <w:p>
      <w:pPr>
        <w:pStyle w:val="BodyText"/>
        <w:widowControl/>
        <w:numPr>
          <w:ilvl w:val="0"/>
          <w:numId w:val="3"/>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Power Plant Development in North Carolina to back a long-term PPA with VEPCO</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 xml:space="preserve">- </w:t>
        <w:tab/>
        <w:t>Kay Mann/Lisa Mellencamp</w:t>
      </w:r>
    </w:p>
    <w:p>
      <w:pPr>
        <w:pStyle w:val="BodyText"/>
        <w:widowControl/>
        <w:numPr>
          <w:ilvl w:val="0"/>
          <w:numId w:val="5"/>
        </w:numPr>
        <w:tabs>
          <w:tab w:val="clear" w:pos="720"/>
          <w:tab w:val="left" w:pos="1260" w:leader="none"/>
        </w:tabs>
        <w:rPr>
          <w:rFonts w:ascii="Times New Roman" w:hAnsi="Times New Roman" w:cs="Times New Roman"/>
        </w:rPr>
      </w:pPr>
      <w:r>
        <w:rPr>
          <w:rFonts w:cs="Times New Roman" w:ascii="Times New Roman" w:hAnsi="Times New Roman"/>
        </w:rPr>
        <w:t>Update:  Site has been acquired;  negotiating PPA and fuel supply contract with City of Rocky Mount.</w:t>
      </w:r>
    </w:p>
    <w:p>
      <w:pPr>
        <w:pStyle w:val="BodyText"/>
        <w:widowControl/>
        <w:tabs>
          <w:tab w:val="clear" w:pos="720"/>
          <w:tab w:val="left" w:pos="1260" w:leader="none"/>
        </w:tabs>
        <w:rPr>
          <w:rFonts w:ascii="Times New Roman" w:hAnsi="Times New Roman" w:cs="Times New Roman"/>
        </w:rPr>
      </w:pPr>
      <w:r>
        <w:rPr>
          <w:rFonts w:cs="Times New Roman" w:ascii="Times New Roman" w:hAnsi="Times New Roman"/>
        </w:rPr>
      </w:r>
    </w:p>
    <w:p>
      <w:pPr>
        <w:pStyle w:val="BodyText"/>
        <w:widowControl/>
        <w:numPr>
          <w:ilvl w:val="0"/>
          <w:numId w:val="3"/>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Development of four to six peaker projects in California for reliability contracts with California ISO.</w:t>
      </w:r>
    </w:p>
    <w:p>
      <w:pPr>
        <w:pStyle w:val="BodyText"/>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Dale Rasmussen, Al Larsen</w:t>
      </w:r>
    </w:p>
    <w:p>
      <w:pPr>
        <w:pStyle w:val="BodyText"/>
        <w:widowControl/>
        <w:numPr>
          <w:ilvl w:val="0"/>
          <w:numId w:val="5"/>
        </w:numPr>
        <w:tabs>
          <w:tab w:val="clear" w:pos="720"/>
          <w:tab w:val="left" w:pos="1080" w:leader="none"/>
          <w:tab w:val="left" w:pos="1260" w:leader="none"/>
        </w:tabs>
        <w:rPr>
          <w:rFonts w:ascii="Times New Roman" w:hAnsi="Times New Roman" w:cs="Times New Roman"/>
        </w:rPr>
      </w:pPr>
      <w:r>
        <w:rPr>
          <w:rFonts w:cs="Times New Roman" w:ascii="Times New Roman" w:hAnsi="Times New Roman"/>
        </w:rPr>
        <w:t>Update:  These projects have been bid into an auction process for selection by the ISO.</w:t>
      </w:r>
    </w:p>
    <w:p>
      <w:pPr>
        <w:pStyle w:val="BodyText"/>
        <w:widowControl/>
        <w:tabs>
          <w:tab w:val="clear" w:pos="720"/>
          <w:tab w:val="left" w:pos="1260" w:leader="none"/>
        </w:tabs>
        <w:ind w:start="360" w:end="0"/>
        <w:rPr>
          <w:rFonts w:ascii="Times New Roman" w:hAnsi="Times New Roman" w:cs="Times New Roman"/>
        </w:rPr>
      </w:pPr>
      <w:r>
        <w:rPr>
          <w:rFonts w:cs="Times New Roman" w:ascii="Times New Roman" w:hAnsi="Times New Roman"/>
        </w:rPr>
        <w:tab/>
      </w:r>
    </w:p>
    <w:p>
      <w:pPr>
        <w:pStyle w:val="BodyText"/>
        <w:widowControl/>
        <w:tabs>
          <w:tab w:val="clear" w:pos="720"/>
          <w:tab w:val="left" w:pos="1260" w:leader="none"/>
        </w:tabs>
        <w:ind w:start="360" w:end="0"/>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12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 w:val="left" w:pos="1260" w:leader="none"/>
        </w:tabs>
        <w:rPr/>
      </w:pPr>
      <w:r>
        <w:rPr>
          <w:rFonts w:cs="Arial Rounded MT Bold" w:ascii="Arial Rounded MT Bold" w:hAnsi="Arial Rounded MT Bold"/>
          <w:sz w:val="22"/>
        </w:rPr>
        <w:t xml:space="preserve">Litigation  </w:t>
      </w:r>
      <w:r>
        <w:rPr>
          <w:rFonts w:cs="Arial" w:ascii="Arial" w:hAnsi="Arial"/>
          <w:sz w:val="18"/>
        </w:rPr>
        <w:t>(Text of "Status of ENA Litigation" Report to Mark Haedicke dated September 21, 2000</w:t>
      </w:r>
      <w:r>
        <w:rPr>
          <w:rFonts w:cs="Arial" w:ascii="Arial" w:hAnsi="Arial"/>
          <w:sz w:val="22"/>
        </w:rPr>
        <w:t>)</w:t>
      </w:r>
    </w:p>
    <w:p>
      <w:pPr>
        <w:pStyle w:val="Body"/>
        <w:rPr>
          <w:rFonts w:ascii="Arial" w:hAnsi="Arial" w:cs="Arial"/>
          <w:sz w:val="22"/>
        </w:rPr>
      </w:pPr>
      <w:r>
        <w:rPr>
          <w:rFonts w:cs="Arial"/>
          <w:sz w:val="22"/>
        </w:rPr>
      </w:r>
      <w:bookmarkStart w:id="0" w:name="StartOfMemo"/>
      <w:bookmarkStart w:id="1" w:name="StartOfMemo"/>
      <w:bookmarkEnd w:id="1"/>
    </w:p>
    <w:p>
      <w:pPr>
        <w:pStyle w:val="Body"/>
        <w:ind w:start="0" w:end="0"/>
        <w:rPr>
          <w:b/>
        </w:rPr>
      </w:pPr>
      <w:r>
        <w:rPr>
          <w:b/>
        </w:rPr>
        <w:t>ACTIVE LITIGATION</w:t>
      </w:r>
    </w:p>
    <w:p>
      <w:pPr>
        <w:pStyle w:val="Body"/>
        <w:ind w:start="0" w:end="0"/>
        <w:rPr>
          <w:b/>
          <w:u w:val="single"/>
        </w:rPr>
      </w:pPr>
      <w:r>
        <w:rPr>
          <w:b/>
          <w:u w:val="single"/>
        </w:rPr>
      </w:r>
    </w:p>
    <w:p>
      <w:pPr>
        <w:pStyle w:val="Normal"/>
        <w:jc w:val="both"/>
        <w:rPr>
          <w:i/>
          <w:i/>
          <w:u w:val="single"/>
        </w:rPr>
      </w:pPr>
      <w:r>
        <w:rPr>
          <w:i/>
          <w:u w:val="single"/>
        </w:rPr>
        <w:t>Dow Waiver Litigation</w:t>
      </w:r>
    </w:p>
    <w:p>
      <w:pPr>
        <w:pStyle w:val="Normal"/>
        <w:jc w:val="both"/>
        <w:rPr/>
      </w:pPr>
      <w:r>
        <w:rPr/>
        <w:t>(Houston state court) (Susman Godfrey/Bracewell &amp; Patterson) (Vinson &amp; Elkins)</w:t>
      </w:r>
    </w:p>
    <w:p>
      <w:pPr>
        <w:pStyle w:val="Normal"/>
        <w:jc w:val="both"/>
        <w:rPr/>
      </w:pPr>
      <w:r>
        <w:rPr/>
      </w:r>
    </w:p>
    <w:p>
      <w:pPr>
        <w:pStyle w:val="Normal"/>
        <w:numPr>
          <w:ilvl w:val="0"/>
          <w:numId w:val="10"/>
        </w:numPr>
        <w:jc w:val="both"/>
        <w:rPr/>
      </w:pPr>
      <w:r>
        <w:rPr/>
        <w:t>Plaintiffs have filed a class action alleging that Houston Pipeline failed to take ratably from gas wells in West Texas.</w:t>
      </w:r>
    </w:p>
    <w:p>
      <w:pPr>
        <w:pStyle w:val="Normal"/>
        <w:numPr>
          <w:ilvl w:val="0"/>
          <w:numId w:val="10"/>
        </w:numPr>
        <w:jc w:val="both"/>
        <w:rPr/>
      </w:pPr>
      <w:r>
        <w:rPr/>
        <w:t>Plaintiffs allege $466 million in damages</w:t>
      </w:r>
    </w:p>
    <w:p>
      <w:pPr>
        <w:pStyle w:val="Normal"/>
        <w:numPr>
          <w:ilvl w:val="0"/>
          <w:numId w:val="10"/>
        </w:numPr>
        <w:jc w:val="both"/>
        <w:rPr/>
      </w:pPr>
      <w:r>
        <w:rPr/>
        <w:t>Our preliminary damage model indicates damages of $60 - $160 million if Plaintiffs recover on their claim.</w:t>
      </w:r>
    </w:p>
    <w:p>
      <w:pPr>
        <w:pStyle w:val="Normal"/>
        <w:numPr>
          <w:ilvl w:val="0"/>
          <w:numId w:val="10"/>
        </w:numPr>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0"/>
        </w:numPr>
        <w:jc w:val="both"/>
        <w:rPr/>
      </w:pPr>
      <w:r>
        <w:rPr/>
        <w:t>The trial is expected within 12-24 months.</w:t>
      </w:r>
    </w:p>
    <w:p>
      <w:pPr>
        <w:pStyle w:val="Normal"/>
        <w:numPr>
          <w:ilvl w:val="0"/>
          <w:numId w:val="10"/>
        </w:numPr>
        <w:jc w:val="both"/>
        <w:rPr/>
      </w:pPr>
      <w:r>
        <w:rPr/>
        <w:t>On August 24</w:t>
      </w:r>
      <w:r>
        <w:rPr>
          <w:vertAlign w:val="superscript"/>
        </w:rPr>
        <w:t>th</w:t>
      </w:r>
      <w:r>
        <w:rPr/>
        <w:t xml:space="preserve"> the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10"/>
        </w:numPr>
        <w:jc w:val="both"/>
        <w:rPr/>
      </w:pPr>
      <w:r>
        <w:rPr/>
        <w:t>The Plaintiffs have requested a rehearing.</w:t>
      </w:r>
    </w:p>
    <w:p>
      <w:pPr>
        <w:pStyle w:val="Normal"/>
        <w:ind w:start="720" w:end="0"/>
        <w:jc w:val="both"/>
        <w:rPr>
          <w:rFonts w:eastAsia="Tms Rmn;Times New Roman"/>
        </w:rPr>
      </w:pPr>
      <w:r>
        <w:rPr>
          <w:rFonts w:eastAsia="Tms Rmn;Times New Roman"/>
        </w:rPr>
        <w:t xml:space="preserve"> </w:t>
      </w:r>
    </w:p>
    <w:p>
      <w:pPr>
        <w:pStyle w:val="Heading1"/>
        <w:rPr/>
      </w:pPr>
      <w:r>
        <w:rPr/>
        <w:t>CATS Litigation</w:t>
      </w:r>
    </w:p>
    <w:p>
      <w:pPr>
        <w:pStyle w:val="Normal"/>
        <w:jc w:val="both"/>
        <w:rPr/>
      </w:pPr>
      <w:r>
        <w:rPr/>
        <w:t>(London Commercial Court) (Norton Rose)</w:t>
      </w:r>
    </w:p>
    <w:p>
      <w:pPr>
        <w:pStyle w:val="Normal"/>
        <w:jc w:val="both"/>
        <w:rPr/>
      </w:pPr>
      <w:r>
        <w:rPr/>
      </w:r>
    </w:p>
    <w:p>
      <w:pPr>
        <w:pStyle w:val="Normal"/>
        <w:numPr>
          <w:ilvl w:val="0"/>
          <w:numId w:val="10"/>
        </w:numPr>
        <w:jc w:val="both"/>
        <w:rPr/>
      </w:pPr>
      <w:r>
        <w:rPr/>
        <w:t>On Friday, July 30</w:t>
      </w:r>
      <w:r>
        <w:rPr>
          <w:vertAlign w:val="superscript"/>
        </w:rPr>
        <w:t>th</w:t>
      </w:r>
      <w:r>
        <w:rPr/>
        <w:t xml:space="preserve"> the appellate court reversed the lower court ruling and ordered the CATS parties to repay Enron approximately $130 million.</w:t>
      </w:r>
    </w:p>
    <w:p>
      <w:pPr>
        <w:pStyle w:val="Normal"/>
        <w:numPr>
          <w:ilvl w:val="0"/>
          <w:numId w:val="10"/>
        </w:numPr>
        <w:jc w:val="both"/>
        <w:rPr/>
      </w:pPr>
      <w:r>
        <w:rPr/>
        <w:t>An appeal to the House of Lords was filed on or about September 1, 1999.</w:t>
      </w:r>
    </w:p>
    <w:p>
      <w:pPr>
        <w:pStyle w:val="Normal"/>
        <w:numPr>
          <w:ilvl w:val="0"/>
          <w:numId w:val="10"/>
        </w:numPr>
        <w:jc w:val="both"/>
        <w:rPr/>
      </w:pPr>
      <w:r>
        <w:rPr/>
        <w:t>The House of Lords granted the CATS parties request to hear the entire appeal of the appellate court’s ruling.  The appeal is expected in late 2000 or early 2001.</w:t>
      </w:r>
    </w:p>
    <w:p>
      <w:pPr>
        <w:pStyle w:val="Normal"/>
        <w:numPr>
          <w:ilvl w:val="0"/>
          <w:numId w:val="0"/>
        </w:numPr>
        <w:ind w:hanging="0" w:start="720" w:end="0"/>
        <w:jc w:val="both"/>
        <w:rPr/>
      </w:pPr>
      <w:r>
        <w:rPr/>
      </w:r>
    </w:p>
    <w:p>
      <w:pPr>
        <w:pStyle w:val="Heading1"/>
        <w:numPr>
          <w:ilvl w:val="0"/>
          <w:numId w:val="0"/>
        </w:numPr>
        <w:ind w:hanging="0" w:start="0"/>
        <w:rPr/>
      </w:pPr>
      <w:r>
        <w:rPr/>
        <w:t>Enron Power Marketing, Inc. v. Tennessee Valley Authority</w:t>
      </w:r>
    </w:p>
    <w:p>
      <w:pPr>
        <w:pStyle w:val="Normal"/>
        <w:numPr>
          <w:ilvl w:val="0"/>
          <w:numId w:val="0"/>
        </w:numPr>
        <w:ind w:hanging="0" w:start="0"/>
        <w:jc w:val="both"/>
        <w:rPr/>
      </w:pPr>
      <w:r>
        <w:rPr/>
        <w:t>(Tennessee Federal District Court) (Gibbs &amp; Bruns)</w:t>
      </w:r>
    </w:p>
    <w:p>
      <w:pPr>
        <w:pStyle w:val="Normal"/>
        <w:numPr>
          <w:ilvl w:val="0"/>
          <w:numId w:val="0"/>
        </w:numPr>
        <w:ind w:hanging="0" w:start="0"/>
        <w:jc w:val="both"/>
        <w:rPr>
          <w:i/>
          <w:i/>
          <w:u w:val="single"/>
        </w:rPr>
      </w:pPr>
      <w:r>
        <w:rPr>
          <w:i/>
          <w:u w:val="single"/>
        </w:rPr>
      </w:r>
    </w:p>
    <w:p>
      <w:pPr>
        <w:pStyle w:val="Normal"/>
        <w:numPr>
          <w:ilvl w:val="0"/>
          <w:numId w:val="10"/>
        </w:numPr>
        <w:jc w:val="both"/>
        <w:rPr/>
      </w:pPr>
      <w:r>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0"/>
        </w:numPr>
        <w:jc w:val="both"/>
        <w:rPr>
          <w:i/>
          <w:i/>
          <w:u w:val="single"/>
        </w:rPr>
      </w:pPr>
      <w:r>
        <w:rPr/>
        <w:t>On January 27, 2000, EPMI terminated the MOPA.</w:t>
      </w:r>
    </w:p>
    <w:p>
      <w:pPr>
        <w:pStyle w:val="Normal"/>
        <w:numPr>
          <w:ilvl w:val="0"/>
          <w:numId w:val="6"/>
        </w:numPr>
        <w:jc w:val="both"/>
        <w:rPr>
          <w:i/>
          <w:i/>
          <w:u w:val="single"/>
        </w:rPr>
      </w:pPr>
      <w:r>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6"/>
        </w:numPr>
        <w:jc w:val="both"/>
        <w:rPr/>
      </w:pPr>
      <w:r>
        <w:rPr/>
        <w:t>On March 5, TVA filed an answer and counterclaim.  In its counterclaim, TVA requests monetary damages and injunctive relief for EPMI’s breach of the MOPA.</w:t>
      </w:r>
    </w:p>
    <w:p>
      <w:pPr>
        <w:pStyle w:val="Normal"/>
        <w:numPr>
          <w:ilvl w:val="0"/>
          <w:numId w:val="6"/>
        </w:numPr>
        <w:jc w:val="both"/>
        <w:rPr/>
      </w:pPr>
      <w:r>
        <w:rPr/>
        <w:t>Enron has sent extensive written discovery requests and will begin depositions in September.</w:t>
      </w:r>
    </w:p>
    <w:p>
      <w:pPr>
        <w:pStyle w:val="Normal"/>
        <w:numPr>
          <w:ilvl w:val="0"/>
          <w:numId w:val="10"/>
        </w:numPr>
        <w:jc w:val="both"/>
        <w:rPr/>
      </w:pPr>
      <w:r>
        <w:rPr/>
        <w:t xml:space="preserve">The case is set for trial on October 12, 2001. </w:t>
      </w:r>
    </w:p>
    <w:p>
      <w:pPr>
        <w:pStyle w:val="Normal"/>
        <w:ind w:start="720" w:end="0"/>
        <w:jc w:val="both"/>
        <w:rPr/>
      </w:pPr>
      <w:r>
        <w:rPr/>
      </w:r>
    </w:p>
    <w:p>
      <w:pPr>
        <w:pStyle w:val="Normal"/>
        <w:numPr>
          <w:ilvl w:val="0"/>
          <w:numId w:val="0"/>
        </w:numPr>
        <w:ind w:hanging="0" w:start="0"/>
        <w:jc w:val="both"/>
        <w:rPr>
          <w:i/>
          <w:i/>
          <w:u w:val="single"/>
        </w:rPr>
      </w:pPr>
      <w:r>
        <w:rPr>
          <w:i/>
          <w:u w:val="single"/>
        </w:rPr>
        <w:t>Glatzer v. Enron Corp. and Enron Finance Corp.</w:t>
      </w:r>
    </w:p>
    <w:p>
      <w:pPr>
        <w:pStyle w:val="Normal"/>
        <w:numPr>
          <w:ilvl w:val="0"/>
          <w:numId w:val="0"/>
        </w:numPr>
        <w:ind w:hanging="0" w:start="0"/>
        <w:jc w:val="both"/>
        <w:rPr/>
      </w:pPr>
      <w:r>
        <w:rPr/>
        <w:t>(New York state court) (Susman Godfrey)</w:t>
      </w:r>
    </w:p>
    <w:p>
      <w:pPr>
        <w:pStyle w:val="Normal"/>
        <w:numPr>
          <w:ilvl w:val="0"/>
          <w:numId w:val="0"/>
        </w:numPr>
        <w:ind w:hanging="0" w:start="0"/>
        <w:jc w:val="both"/>
        <w:rPr/>
      </w:pPr>
      <w:r>
        <w:rPr/>
      </w:r>
    </w:p>
    <w:p>
      <w:pPr>
        <w:pStyle w:val="Normal"/>
        <w:numPr>
          <w:ilvl w:val="0"/>
          <w:numId w:val="10"/>
        </w:numPr>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0"/>
        </w:numPr>
        <w:jc w:val="both"/>
        <w:rPr/>
      </w:pPr>
      <w:r>
        <w:rPr/>
        <w:t>Plaintiff’s damages are unspecified, but he has offered to settle for $1 million</w:t>
      </w:r>
    </w:p>
    <w:p>
      <w:pPr>
        <w:pStyle w:val="Normal"/>
        <w:numPr>
          <w:ilvl w:val="0"/>
          <w:numId w:val="10"/>
        </w:numPr>
        <w:jc w:val="both"/>
        <w:rPr/>
      </w:pPr>
      <w:r>
        <w:rPr/>
        <w:t>ECT filed a motion for summary judgement on September 24, 1998.  Plaintiff filed a response on February 6.</w:t>
      </w:r>
    </w:p>
    <w:p>
      <w:pPr>
        <w:pStyle w:val="Normal"/>
        <w:numPr>
          <w:ilvl w:val="0"/>
          <w:numId w:val="10"/>
        </w:numPr>
        <w:jc w:val="both"/>
        <w:rPr/>
      </w:pPr>
      <w:r>
        <w:rPr/>
        <w:t xml:space="preserve">On July 14, 1999, the Court granted ECT’s motion for summary judgment. </w:t>
      </w:r>
    </w:p>
    <w:p>
      <w:pPr>
        <w:pStyle w:val="Normal"/>
        <w:numPr>
          <w:ilvl w:val="0"/>
          <w:numId w:val="10"/>
        </w:numPr>
        <w:jc w:val="both"/>
        <w:rPr>
          <w:i/>
          <w:i/>
          <w:u w:val="single"/>
        </w:rPr>
      </w:pPr>
      <w:r>
        <w:rPr/>
        <w:t>The plaintiff has appealed the judgment.</w:t>
      </w:r>
    </w:p>
    <w:p>
      <w:pPr>
        <w:pStyle w:val="Normal"/>
        <w:numPr>
          <w:ilvl w:val="0"/>
          <w:numId w:val="10"/>
        </w:numPr>
        <w:jc w:val="both"/>
        <w:rPr>
          <w:i/>
          <w:i/>
          <w:u w:val="single"/>
        </w:rPr>
      </w:pPr>
      <w:r>
        <w:rPr/>
        <w:t>A decision is expected within six months.</w:t>
      </w:r>
    </w:p>
    <w:p>
      <w:pPr>
        <w:pStyle w:val="Normal"/>
        <w:ind w:start="720" w:end="0"/>
        <w:jc w:val="both"/>
        <w:rPr>
          <w:i/>
          <w:i/>
          <w:u w:val="single"/>
        </w:rPr>
      </w:pPr>
      <w:r>
        <w:rPr>
          <w:i/>
          <w:u w:val="single"/>
        </w:rPr>
      </w:r>
    </w:p>
    <w:p>
      <w:pPr>
        <w:pStyle w:val="Normal"/>
        <w:jc w:val="both"/>
        <w:rPr>
          <w:i/>
          <w:i/>
          <w:u w:val="single"/>
        </w:rPr>
      </w:pPr>
      <w:r>
        <w:rPr>
          <w:i/>
          <w:u w:val="single"/>
        </w:rPr>
        <w:t>EnSerCo, L.L.C.v. Drilling Rig Noram 253 and SAM Offshore, Ltd.</w:t>
      </w:r>
    </w:p>
    <w:p>
      <w:pPr>
        <w:pStyle w:val="Normal"/>
        <w:jc w:val="both"/>
        <w:rPr/>
      </w:pPr>
      <w:r>
        <w:rPr/>
        <w:t>(Southern District, Galveston Division) (Gardere Wynne Sewell &amp; Riggs)</w:t>
      </w:r>
    </w:p>
    <w:p>
      <w:pPr>
        <w:pStyle w:val="Normal"/>
        <w:jc w:val="both"/>
        <w:rPr/>
      </w:pPr>
      <w:r>
        <w:rPr/>
      </w:r>
    </w:p>
    <w:p>
      <w:pPr>
        <w:pStyle w:val="Normal"/>
        <w:numPr>
          <w:ilvl w:val="0"/>
          <w:numId w:val="10"/>
        </w:numPr>
        <w:jc w:val="both"/>
        <w:rPr/>
      </w:pPr>
      <w:r>
        <w:rPr/>
        <w:t>Sam Offshore defaulted on $15,500,000 Promissory Note</w:t>
      </w:r>
    </w:p>
    <w:p>
      <w:pPr>
        <w:pStyle w:val="Normal"/>
        <w:numPr>
          <w:ilvl w:val="0"/>
          <w:numId w:val="10"/>
        </w:numPr>
        <w:jc w:val="both"/>
        <w:rPr/>
      </w:pPr>
      <w:r>
        <w:rPr/>
        <w:t>Enserco seized the vessel on October 15, 1999.  The rig is located in Galveston</w:t>
      </w:r>
    </w:p>
    <w:p>
      <w:pPr>
        <w:pStyle w:val="Normal"/>
        <w:numPr>
          <w:ilvl w:val="0"/>
          <w:numId w:val="10"/>
        </w:numPr>
        <w:jc w:val="both"/>
        <w:rPr/>
      </w:pPr>
      <w:r>
        <w:rPr/>
        <w:t>In January Enserco filed suit against the guarantors of the Sam Offshore loan.  The guarantors are foreign companies.</w:t>
      </w:r>
    </w:p>
    <w:p>
      <w:pPr>
        <w:pStyle w:val="Normal"/>
        <w:numPr>
          <w:ilvl w:val="0"/>
          <w:numId w:val="10"/>
        </w:numPr>
        <w:jc w:val="both"/>
        <w:rPr/>
      </w:pPr>
      <w:r>
        <w:rPr/>
        <w:t>In February, Enserco purchased the rig in a judicial foreclosure sale for $1 million.  We are attempting to sell this rig.</w:t>
      </w:r>
    </w:p>
    <w:p>
      <w:pPr>
        <w:pStyle w:val="Normal"/>
        <w:numPr>
          <w:ilvl w:val="0"/>
          <w:numId w:val="10"/>
        </w:numPr>
        <w:jc w:val="both"/>
        <w:rPr/>
      </w:pPr>
      <w:r>
        <w:rPr/>
        <w:t>On June 9</w:t>
      </w:r>
      <w:r>
        <w:rPr>
          <w:vertAlign w:val="superscript"/>
        </w:rPr>
        <w:t>th</w:t>
      </w:r>
      <w:r>
        <w:rPr/>
        <w:t>, this case was called to trial.  Prior to the trial, the defendants agreed to a deficiency judgment in favor of Enserco.  Enserco agreed to dismiss fraudulent transfer claims against two defendants.</w:t>
      </w:r>
    </w:p>
    <w:p>
      <w:pPr>
        <w:pStyle w:val="Normal"/>
        <w:numPr>
          <w:ilvl w:val="0"/>
          <w:numId w:val="10"/>
        </w:numPr>
        <w:jc w:val="both"/>
        <w:rPr/>
      </w:pPr>
      <w:r>
        <w:rPr/>
        <w:t>We will now attempt to collect the deficiency judgment.</w:t>
      </w:r>
    </w:p>
    <w:p>
      <w:pPr>
        <w:pStyle w:val="Normal"/>
        <w:ind w:start="720" w:end="0"/>
        <w:jc w:val="both"/>
        <w:rPr>
          <w:b/>
        </w:rPr>
      </w:pPr>
      <w:r>
        <w:rPr>
          <w:b/>
        </w:rPr>
      </w:r>
    </w:p>
    <w:p>
      <w:pPr>
        <w:pStyle w:val="Heading6"/>
        <w:ind w:hanging="0" w:start="0"/>
        <w:rPr>
          <w:u w:val="single"/>
        </w:rPr>
      </w:pPr>
      <w:r>
        <w:rPr>
          <w:rFonts w:eastAsia="Arial"/>
          <w:u w:val="single"/>
        </w:rPr>
        <w:t xml:space="preserve"> </w:t>
      </w:r>
      <w:r>
        <w:rPr>
          <w:u w:val="single"/>
        </w:rPr>
        <w:t>Natole v. ECT</w:t>
      </w:r>
    </w:p>
    <w:p>
      <w:pPr>
        <w:pStyle w:val="Heading6"/>
        <w:ind w:hanging="0" w:start="0"/>
        <w:rPr>
          <w:i w:val="false"/>
          <w:i w:val="false"/>
        </w:rPr>
      </w:pPr>
      <w:r>
        <w:rPr>
          <w:i w:val="false"/>
        </w:rPr>
        <w:t>(Houston State Court) (Ogden, Gibson, White &amp; Brooks)</w:t>
      </w:r>
    </w:p>
    <w:p>
      <w:pPr>
        <w:pStyle w:val="Normal"/>
        <w:rPr>
          <w:i/>
          <w:i/>
        </w:rPr>
      </w:pPr>
      <w:r>
        <w:rPr>
          <w:i/>
        </w:rPr>
      </w:r>
    </w:p>
    <w:p>
      <w:pPr>
        <w:pStyle w:val="Normal"/>
        <w:numPr>
          <w:ilvl w:val="0"/>
          <w:numId w:val="10"/>
        </w:numPr>
        <w:jc w:val="both"/>
        <w:rPr/>
      </w:pPr>
      <w:r>
        <w:rPr/>
        <w:t>Natole has sued ECT alleging that ECT breached its verbal contract with Natole to pay Natole a $900,000 sales commission for a gas turbine.</w:t>
      </w:r>
    </w:p>
    <w:p>
      <w:pPr>
        <w:pStyle w:val="Normal"/>
        <w:numPr>
          <w:ilvl w:val="0"/>
          <w:numId w:val="10"/>
        </w:numPr>
        <w:jc w:val="both"/>
        <w:rPr/>
      </w:pPr>
      <w:r>
        <w:rPr/>
        <w:t>Natole has also sued ECT alleging that ECT wrongfully rejected spare parts for a separate turbine.  ECT believes the parts are non-conforming because they are not certified parts.  This claim is for $500,000.</w:t>
      </w:r>
    </w:p>
    <w:p>
      <w:pPr>
        <w:pStyle w:val="Normal"/>
        <w:numPr>
          <w:ilvl w:val="0"/>
          <w:numId w:val="10"/>
        </w:numPr>
        <w:jc w:val="both"/>
        <w:rPr>
          <w:b/>
        </w:rPr>
      </w:pPr>
      <w:r>
        <w:rPr/>
        <w:t>Discovery is proceeding.</w:t>
      </w:r>
    </w:p>
    <w:p>
      <w:pPr>
        <w:pStyle w:val="Normal"/>
        <w:numPr>
          <w:ilvl w:val="0"/>
          <w:numId w:val="10"/>
        </w:numPr>
        <w:jc w:val="both"/>
        <w:rPr/>
      </w:pPr>
      <w:r>
        <w:rPr/>
        <w:t>The case settled for $125,000.00.</w:t>
      </w:r>
    </w:p>
    <w:p>
      <w:pPr>
        <w:pStyle w:val="Heading6"/>
        <w:ind w:hanging="0" w:start="0"/>
        <w:rPr>
          <w:u w:val="single"/>
        </w:rPr>
      </w:pPr>
      <w:r>
        <w:rPr>
          <w:u w:val="single"/>
        </w:rPr>
      </w:r>
    </w:p>
    <w:p>
      <w:pPr>
        <w:pStyle w:val="Heading6"/>
        <w:ind w:hanging="0" w:start="0"/>
        <w:rPr>
          <w:u w:val="single"/>
        </w:rPr>
      </w:pPr>
      <w:r>
        <w:rPr>
          <w:u w:val="single"/>
        </w:rPr>
        <w:t>Nakonthai Strip Mill (NSM) Thailand</w:t>
      </w:r>
    </w:p>
    <w:p>
      <w:pPr>
        <w:pStyle w:val="Subject"/>
        <w:tabs>
          <w:tab w:val="clear" w:pos="720"/>
          <w:tab w:val="left" w:pos="540" w:leader="none"/>
        </w:tabs>
        <w:rPr/>
      </w:pPr>
      <w:r>
        <w:rPr/>
        <w:t>(Los Angeles State Court) (Millbank, Tweed)</w:t>
      </w:r>
    </w:p>
    <w:p>
      <w:pPr>
        <w:pStyle w:val="Normal"/>
        <w:rPr/>
      </w:pPr>
      <w:r>
        <w:rPr/>
      </w:r>
    </w:p>
    <w:p>
      <w:pPr>
        <w:pStyle w:val="Normal"/>
        <w:numPr>
          <w:ilvl w:val="0"/>
          <w:numId w:val="10"/>
        </w:numPr>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0"/>
        </w:numPr>
        <w:jc w:val="both"/>
        <w:rPr/>
      </w:pPr>
      <w:r>
        <w:rPr/>
        <w:t>ECT Securities was an underwriter for approximately $25 million of the bonds and may have liability for any misrepresentations contained in the offering memorandum.</w:t>
      </w:r>
    </w:p>
    <w:p>
      <w:pPr>
        <w:pStyle w:val="Normal"/>
        <w:numPr>
          <w:ilvl w:val="0"/>
          <w:numId w:val="10"/>
        </w:numPr>
        <w:jc w:val="both"/>
        <w:rPr/>
      </w:pPr>
      <w:r>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10"/>
        </w:numPr>
        <w:jc w:val="both"/>
        <w:rPr/>
      </w:pPr>
      <w:r>
        <w:rPr/>
        <w:t>Several lawsuits have been filed against our co-underwriters claiming alleged misrepresentations in the offering memorandum.  The lawsuits are pending in Minneapolis, New Jersey, Chicago and Los Angeles.</w:t>
      </w:r>
    </w:p>
    <w:p>
      <w:pPr>
        <w:pStyle w:val="Normal"/>
        <w:numPr>
          <w:ilvl w:val="0"/>
          <w:numId w:val="10"/>
        </w:numPr>
        <w:jc w:val="both"/>
        <w:rPr/>
      </w:pPr>
      <w:r>
        <w:rPr/>
        <w:t>ECT Securities has been sued by Farrollan and Legg Mason in Los Angeles State District Court.</w:t>
      </w:r>
    </w:p>
    <w:p>
      <w:pPr>
        <w:pStyle w:val="Normal"/>
        <w:numPr>
          <w:ilvl w:val="0"/>
          <w:numId w:val="10"/>
        </w:numPr>
        <w:jc w:val="both"/>
        <w:rPr/>
      </w:pPr>
      <w:r>
        <w:rPr/>
        <w:t>Extensive discovery has been conducted to date.</w:t>
      </w:r>
    </w:p>
    <w:p>
      <w:pPr>
        <w:pStyle w:val="Normal"/>
        <w:rPr/>
      </w:pPr>
      <w:r>
        <w:rPr/>
      </w:r>
    </w:p>
    <w:p>
      <w:pPr>
        <w:pStyle w:val="Heading6"/>
        <w:ind w:hanging="0" w:start="0"/>
        <w:rPr>
          <w:u w:val="single"/>
        </w:rPr>
      </w:pPr>
      <w:r>
        <w:rPr>
          <w:u w:val="single"/>
        </w:rPr>
        <w:t>Grynberg</w:t>
      </w:r>
    </w:p>
    <w:p>
      <w:pPr>
        <w:pStyle w:val="Footer"/>
        <w:tabs>
          <w:tab w:val="clear" w:pos="4320"/>
          <w:tab w:val="clear" w:pos="8640"/>
          <w:tab w:val="left" w:pos="540" w:leader="none"/>
        </w:tabs>
        <w:rPr/>
      </w:pPr>
      <w:r>
        <w:rPr/>
        <w:t>(Wyoming Federal Court) (Gibbs &amp; Bruns) (Vinson &amp; Elkins)</w:t>
      </w:r>
    </w:p>
    <w:p>
      <w:pPr>
        <w:pStyle w:val="Normal"/>
        <w:ind w:start="720" w:end="0"/>
        <w:jc w:val="both"/>
        <w:rPr/>
      </w:pPr>
      <w:r>
        <w:rPr/>
      </w:r>
    </w:p>
    <w:p>
      <w:pPr>
        <w:pStyle w:val="Normal"/>
        <w:numPr>
          <w:ilvl w:val="0"/>
          <w:numId w:val="10"/>
        </w:numPr>
        <w:jc w:val="both"/>
        <w:rPr/>
      </w:pPr>
      <w:r>
        <w:rPr/>
        <w:t>Qui tam action brought against HPL, LRC, and all pipeline companies in America alleging fraudulent practices in the measurement of gas.</w:t>
      </w:r>
    </w:p>
    <w:p>
      <w:pPr>
        <w:pStyle w:val="Normal"/>
        <w:numPr>
          <w:ilvl w:val="0"/>
          <w:numId w:val="10"/>
        </w:numPr>
        <w:jc w:val="both"/>
        <w:rPr/>
      </w:pPr>
      <w:r>
        <w:rPr/>
        <w:t>All of the cases have been consolidated in Wyoming.</w:t>
      </w:r>
    </w:p>
    <w:p>
      <w:pPr>
        <w:pStyle w:val="Normal"/>
        <w:numPr>
          <w:ilvl w:val="0"/>
          <w:numId w:val="10"/>
        </w:numPr>
        <w:jc w:val="both"/>
        <w:rPr/>
      </w:pPr>
      <w:r>
        <w:rPr/>
        <w:t xml:space="preserve">On March 18, the court heard oral arguments on the defendants’ motion to dismiss for failure to plead fraud with particularity.  The Court has not yet issued a decision. </w:t>
      </w:r>
    </w:p>
    <w:p>
      <w:pPr>
        <w:pStyle w:val="Heading6"/>
        <w:ind w:hanging="0" w:start="0"/>
        <w:rPr>
          <w:u w:val="single"/>
        </w:rPr>
      </w:pPr>
      <w:r>
        <w:rPr>
          <w:u w:val="single"/>
        </w:rPr>
      </w:r>
    </w:p>
    <w:p>
      <w:pPr>
        <w:pStyle w:val="Heading6"/>
        <w:ind w:hanging="0" w:start="0"/>
        <w:rPr>
          <w:u w:val="single"/>
        </w:rPr>
      </w:pPr>
      <w:r>
        <w:rPr>
          <w:u w:val="single"/>
        </w:rPr>
        <w:t>Qunique Case</w:t>
      </w:r>
    </w:p>
    <w:p>
      <w:pPr>
        <w:pStyle w:val="Footer"/>
        <w:tabs>
          <w:tab w:val="clear" w:pos="4320"/>
          <w:tab w:val="clear" w:pos="8640"/>
          <w:tab w:val="left" w:pos="540" w:leader="none"/>
        </w:tabs>
        <w:rPr/>
      </w:pPr>
      <w:r>
        <w:rPr/>
        <w:t>(Kansas State &amp; Federal Court) (Gibbs &amp; Bruns) (Vinson &amp; Elkins)</w:t>
      </w:r>
    </w:p>
    <w:p>
      <w:pPr>
        <w:pStyle w:val="Normal"/>
        <w:ind w:start="720" w:end="0"/>
        <w:jc w:val="both"/>
        <w:rPr/>
      </w:pPr>
      <w:r>
        <w:rPr/>
      </w:r>
    </w:p>
    <w:p>
      <w:pPr>
        <w:pStyle w:val="Normal"/>
        <w:numPr>
          <w:ilvl w:val="0"/>
          <w:numId w:val="10"/>
        </w:numPr>
        <w:jc w:val="both"/>
        <w:rPr/>
      </w:pPr>
      <w:r>
        <w:rPr/>
        <w:t>This is a national class action filed in State District Court in Kansas on behalf of all gas producers and royalty interest owners alleging fraudulent practices in the measurement of gas.</w:t>
      </w:r>
    </w:p>
    <w:p>
      <w:pPr>
        <w:pStyle w:val="Normal"/>
        <w:numPr>
          <w:ilvl w:val="0"/>
          <w:numId w:val="10"/>
        </w:numPr>
        <w:jc w:val="both"/>
        <w:rPr/>
      </w:pPr>
      <w:r>
        <w:rPr/>
        <w:t>Enron removed the case to the Federal District Court of Kansas City alleging Federal Question jurisdiction.</w:t>
      </w:r>
    </w:p>
    <w:p>
      <w:pPr>
        <w:pStyle w:val="Normal"/>
        <w:numPr>
          <w:ilvl w:val="0"/>
          <w:numId w:val="10"/>
        </w:numPr>
        <w:jc w:val="both"/>
        <w:rPr/>
      </w:pPr>
      <w:r>
        <w:rPr/>
        <w:t>Plaintiffs have filed a motion to remand to State District Court.</w:t>
      </w:r>
    </w:p>
    <w:p>
      <w:pPr>
        <w:pStyle w:val="Normal"/>
        <w:numPr>
          <w:ilvl w:val="0"/>
          <w:numId w:val="10"/>
        </w:numPr>
        <w:jc w:val="both"/>
        <w:rPr/>
      </w:pPr>
      <w:r>
        <w:rPr/>
        <w:t xml:space="preserve">All proceedings have been stayed pending the Court’s consideration of the motion to remand. </w:t>
      </w:r>
    </w:p>
    <w:p>
      <w:pPr>
        <w:pStyle w:val="Normal"/>
        <w:numPr>
          <w:ilvl w:val="0"/>
          <w:numId w:val="10"/>
        </w:numPr>
        <w:jc w:val="both"/>
        <w:rPr/>
      </w:pPr>
      <w:r>
        <w:rPr/>
        <w:t xml:space="preserve">On April 12th, the Multi-District Litigation Panel transferred this action to the Federal District Court in Wyoming. </w:t>
      </w:r>
    </w:p>
    <w:p>
      <w:pPr>
        <w:pStyle w:val="Normal"/>
        <w:numPr>
          <w:ilvl w:val="0"/>
          <w:numId w:val="10"/>
        </w:numPr>
        <w:jc w:val="both"/>
        <w:rPr/>
      </w:pPr>
      <w:r>
        <w:rPr/>
        <w:t>The defendants have filed Rule 9b and 12b motions to dismiss.  The Court has not yet issued a decision.</w:t>
      </w:r>
    </w:p>
    <w:p>
      <w:pPr>
        <w:pStyle w:val="Normal"/>
        <w:ind w:start="720" w:end="0"/>
        <w:jc w:val="both"/>
        <w:rPr>
          <w:b/>
          <w:bCs/>
        </w:rPr>
      </w:pPr>
      <w:r>
        <w:rPr>
          <w:b/>
          <w:bCs/>
        </w:rPr>
      </w:r>
    </w:p>
    <w:p>
      <w:pPr>
        <w:pStyle w:val="Heading1"/>
        <w:rPr/>
      </w:pPr>
      <w:r>
        <w:rPr/>
        <w:t>Enron Power Marketing v. Calpine Corp.</w:t>
      </w:r>
    </w:p>
    <w:p>
      <w:pPr>
        <w:pStyle w:val="Normal"/>
        <w:jc w:val="both"/>
        <w:rPr/>
      </w:pPr>
      <w:r>
        <w:rPr/>
        <w:t>(Houston Federal District Court) (Bill Ogden)</w:t>
      </w:r>
    </w:p>
    <w:p>
      <w:pPr>
        <w:pStyle w:val="Normal"/>
        <w:jc w:val="both"/>
        <w:rPr/>
      </w:pPr>
      <w:r>
        <w:rPr/>
      </w:r>
    </w:p>
    <w:p>
      <w:pPr>
        <w:pStyle w:val="Normal"/>
        <w:numPr>
          <w:ilvl w:val="0"/>
          <w:numId w:val="9"/>
        </w:numPr>
        <w:jc w:val="both"/>
        <w:rPr/>
      </w:pPr>
      <w:r>
        <w:rPr/>
        <w:t>EPMI filed a lawsuit against Calpine alleging that Calpine breached its contract with EPMI to assume certain power contracts  EPMI had with the Lower Colorado River Authority.</w:t>
      </w:r>
    </w:p>
    <w:p>
      <w:pPr>
        <w:pStyle w:val="Normal"/>
        <w:numPr>
          <w:ilvl w:val="0"/>
          <w:numId w:val="9"/>
        </w:numPr>
        <w:jc w:val="both"/>
        <w:rPr/>
      </w:pPr>
      <w:r>
        <w:rPr/>
        <w:t>EPMI's damages will depend on the cost of covering Calpine's position.  The damages are estimated to be $2.4-7.2 million.</w:t>
      </w:r>
    </w:p>
    <w:p>
      <w:pPr>
        <w:pStyle w:val="Normal"/>
        <w:numPr>
          <w:ilvl w:val="0"/>
          <w:numId w:val="9"/>
        </w:numPr>
        <w:jc w:val="both"/>
        <w:rPr/>
      </w:pPr>
      <w:r>
        <w:rPr/>
        <w:t>On March 6, 2000, Calpine filed an answer and removed this case to Federal Court.  The preliminary hearing before the court is scheduled on July 21</w:t>
      </w:r>
      <w:r>
        <w:rPr>
          <w:vertAlign w:val="superscript"/>
        </w:rPr>
        <w:t>st</w:t>
      </w:r>
      <w:r>
        <w:rPr/>
        <w:t>.</w:t>
      </w:r>
    </w:p>
    <w:p>
      <w:pPr>
        <w:pStyle w:val="Normal"/>
        <w:numPr>
          <w:ilvl w:val="0"/>
          <w:numId w:val="9"/>
        </w:numPr>
        <w:jc w:val="both"/>
        <w:rPr>
          <w:bCs/>
        </w:rPr>
      </w:pPr>
      <w:r>
        <w:rPr>
          <w:bCs/>
        </w:rPr>
        <w:t>Discovery is proceeding.</w:t>
      </w:r>
    </w:p>
    <w:p>
      <w:pPr>
        <w:pStyle w:val="Normal"/>
        <w:jc w:val="both"/>
        <w:rPr>
          <w:bCs/>
        </w:rPr>
      </w:pPr>
      <w:r>
        <w:rPr>
          <w:bCs/>
        </w:rPr>
      </w:r>
    </w:p>
    <w:p>
      <w:pPr>
        <w:pStyle w:val="Heading1"/>
        <w:rPr/>
      </w:pPr>
      <w:r>
        <w:rPr/>
        <w:t>PCA v. Enron Power Marketing</w:t>
      </w:r>
    </w:p>
    <w:p>
      <w:pPr>
        <w:pStyle w:val="Normal"/>
        <w:jc w:val="both"/>
        <w:rPr/>
      </w:pPr>
      <w:r>
        <w:rPr/>
        <w:t>(Connecticut Federal District Court) (Weil Gotshal &amp; Manges – Melanie Gray)</w:t>
      </w:r>
    </w:p>
    <w:p>
      <w:pPr>
        <w:pStyle w:val="Normal"/>
        <w:jc w:val="both"/>
        <w:rPr/>
      </w:pPr>
      <w:r>
        <w:rPr/>
      </w:r>
    </w:p>
    <w:p>
      <w:pPr>
        <w:pStyle w:val="Normal"/>
        <w:numPr>
          <w:ilvl w:val="0"/>
          <w:numId w:val="9"/>
        </w:numPr>
        <w:jc w:val="both"/>
        <w:rPr/>
      </w:pPr>
      <w:r>
        <w:rPr/>
        <w:t>Lawsuit filed by the PCA bankruptcy trustee alleging wrongful termination of PCA’s power contract.</w:t>
      </w:r>
    </w:p>
    <w:p>
      <w:pPr>
        <w:pStyle w:val="Normal"/>
        <w:numPr>
          <w:ilvl w:val="0"/>
          <w:numId w:val="9"/>
        </w:numPr>
        <w:jc w:val="both"/>
        <w:rPr/>
      </w:pPr>
      <w:r>
        <w:rPr/>
        <w:t>Alleged damages are between $4-12 million.</w:t>
      </w:r>
    </w:p>
    <w:p>
      <w:pPr>
        <w:pStyle w:val="Normal"/>
        <w:numPr>
          <w:ilvl w:val="0"/>
          <w:numId w:val="9"/>
        </w:numPr>
        <w:jc w:val="both"/>
        <w:rPr>
          <w:b/>
          <w:bCs/>
        </w:rPr>
      </w:pPr>
      <w:r>
        <w:rPr>
          <w:b/>
          <w:bCs/>
        </w:rPr>
        <w:t>EPMI’s answer date is October 5</w:t>
      </w:r>
      <w:r>
        <w:rPr>
          <w:b/>
          <w:bCs/>
          <w:vertAlign w:val="superscript"/>
        </w:rPr>
        <w:t>th</w:t>
      </w:r>
      <w:r>
        <w:rPr>
          <w:b/>
          <w:bCs/>
        </w:rPr>
        <w:t>.</w:t>
      </w:r>
    </w:p>
    <w:p>
      <w:pPr>
        <w:pStyle w:val="Normal"/>
        <w:jc w:val="both"/>
        <w:rPr>
          <w:b/>
          <w:bCs/>
        </w:rPr>
      </w:pPr>
      <w:r>
        <w:rPr>
          <w:b/>
          <w:bCs/>
        </w:rPr>
      </w:r>
      <w:r>
        <w:br w:type="page"/>
      </w:r>
    </w:p>
    <w:p>
      <w:pPr>
        <w:pStyle w:val="Heading1"/>
        <w:rPr/>
      </w:pPr>
      <w:r>
        <w:rPr/>
        <w:t>Enron v. Antarra Resources</w:t>
      </w:r>
    </w:p>
    <w:p>
      <w:pPr>
        <w:pStyle w:val="Normal"/>
        <w:jc w:val="both"/>
        <w:rPr/>
      </w:pPr>
      <w:r>
        <w:rPr/>
        <w:t>(Harris County District Court) (Buck, Kennan &amp; Owens – Randy Owens)</w:t>
      </w:r>
    </w:p>
    <w:p>
      <w:pPr>
        <w:pStyle w:val="Normal"/>
        <w:jc w:val="both"/>
        <w:rPr/>
      </w:pPr>
      <w:r>
        <w:rPr/>
      </w:r>
    </w:p>
    <w:p>
      <w:pPr>
        <w:pStyle w:val="Normal"/>
        <w:numPr>
          <w:ilvl w:val="0"/>
          <w:numId w:val="9"/>
        </w:numPr>
        <w:jc w:val="both"/>
        <w:rPr/>
      </w:pPr>
      <w:r>
        <w:rPr/>
        <w:t>Badack Resources, a subsidiary of Antarra, defaulted on a gas sales agreement with ENA.</w:t>
      </w:r>
    </w:p>
    <w:p>
      <w:pPr>
        <w:pStyle w:val="Normal"/>
        <w:numPr>
          <w:ilvl w:val="0"/>
          <w:numId w:val="9"/>
        </w:numPr>
        <w:jc w:val="both"/>
        <w:rPr/>
      </w:pPr>
      <w:r>
        <w:rPr/>
        <w:t>ENA’s damages are approximately $8.4 million.</w:t>
      </w:r>
    </w:p>
    <w:p>
      <w:pPr>
        <w:pStyle w:val="Normal"/>
        <w:numPr>
          <w:ilvl w:val="0"/>
          <w:numId w:val="9"/>
        </w:numPr>
        <w:jc w:val="both"/>
        <w:rPr/>
      </w:pPr>
      <w:r>
        <w:rPr/>
        <w:t>Antarra was sued under a corporate guaranty.</w:t>
      </w:r>
    </w:p>
    <w:p>
      <w:pPr>
        <w:pStyle w:val="Normal"/>
        <w:numPr>
          <w:ilvl w:val="0"/>
          <w:numId w:val="9"/>
        </w:numPr>
        <w:jc w:val="both"/>
        <w:rPr/>
      </w:pPr>
      <w:r>
        <w:rPr/>
        <w:t>Suit was filed on August 17</w:t>
      </w:r>
      <w:r>
        <w:rPr>
          <w:vertAlign w:val="superscript"/>
        </w:rPr>
        <w:t>th</w:t>
      </w:r>
      <w:r>
        <w:rPr/>
        <w:t>.</w:t>
      </w:r>
    </w:p>
    <w:p>
      <w:pPr>
        <w:pStyle w:val="Normal"/>
        <w:jc w:val="both"/>
        <w:rPr/>
      </w:pPr>
      <w:r>
        <w:rPr/>
      </w:r>
    </w:p>
    <w:p>
      <w:pPr>
        <w:pStyle w:val="Heading1"/>
        <w:rPr/>
      </w:pPr>
      <w:r>
        <w:rPr/>
        <w:t>Wright v. Enron Corporation</w:t>
      </w:r>
    </w:p>
    <w:p>
      <w:pPr>
        <w:pStyle w:val="Normal"/>
        <w:jc w:val="both"/>
        <w:rPr/>
      </w:pPr>
      <w:r>
        <w:rPr/>
        <w:t>(Gibbs &amp; Bruns/Vinson &amp;  Elkins)</w:t>
      </w:r>
    </w:p>
    <w:p>
      <w:pPr>
        <w:pStyle w:val="Normal"/>
        <w:jc w:val="both"/>
        <w:rPr/>
      </w:pPr>
      <w:r>
        <w:rPr/>
      </w:r>
    </w:p>
    <w:p>
      <w:pPr>
        <w:pStyle w:val="Normal"/>
        <w:numPr>
          <w:ilvl w:val="0"/>
          <w:numId w:val="9"/>
        </w:numPr>
        <w:jc w:val="both"/>
        <w:rPr/>
      </w:pPr>
      <w:r>
        <w:rPr/>
        <w:t>Qui tam case alleging that all marketing affiliates, including ECT, were created to defraud the federal government of royalty obligations.</w:t>
      </w:r>
    </w:p>
    <w:p>
      <w:pPr>
        <w:pStyle w:val="Normal"/>
        <w:numPr>
          <w:ilvl w:val="0"/>
          <w:numId w:val="9"/>
        </w:numPr>
        <w:jc w:val="both"/>
        <w:rPr/>
      </w:pPr>
      <w:r>
        <w:rPr/>
        <w:t xml:space="preserve">This case has been consolidated with the </w:t>
      </w:r>
      <w:r>
        <w:rPr>
          <w:u w:val="single"/>
        </w:rPr>
        <w:t>Grynberg</w:t>
      </w:r>
      <w:r>
        <w:rPr/>
        <w:t xml:space="preserve"> case in Wyoming.</w:t>
      </w:r>
    </w:p>
    <w:p>
      <w:pPr>
        <w:pStyle w:val="Normal"/>
        <w:numPr>
          <w:ilvl w:val="0"/>
          <w:numId w:val="9"/>
        </w:numPr>
        <w:jc w:val="both"/>
        <w:rPr/>
      </w:pPr>
      <w:r>
        <w:rPr/>
        <w:t>The Department of Justice has not decided whether to intervene in this case.</w:t>
      </w:r>
    </w:p>
    <w:p>
      <w:pPr>
        <w:pStyle w:val="Normal"/>
        <w:jc w:val="both"/>
        <w:rPr/>
      </w:pPr>
      <w:r>
        <w:rPr/>
      </w:r>
    </w:p>
    <w:p>
      <w:pPr>
        <w:pStyle w:val="Normal"/>
        <w:jc w:val="both"/>
        <w:rPr/>
      </w:pPr>
      <w:r>
        <w:rPr/>
        <w:t>cc:</w:t>
        <w:tab/>
        <w:t>James V. Derrick</w:t>
      </w:r>
    </w:p>
    <w:p>
      <w:pPr>
        <w:pStyle w:val="Normal"/>
        <w:jc w:val="both"/>
        <w:rPr/>
      </w:pPr>
      <w:r>
        <w:rPr/>
        <w:tab/>
        <w:t>Julia A. Murray</w:t>
      </w:r>
    </w:p>
    <w:p>
      <w:pPr>
        <w:pStyle w:val="Normal"/>
        <w:jc w:val="both"/>
        <w:rPr/>
      </w:pPr>
      <w:r>
        <w:rPr>
          <w:b/>
        </w:rPr>
        <w:tab/>
      </w:r>
      <w:r>
        <w:rPr/>
        <w:t>Dave Delainey</w:t>
      </w:r>
    </w:p>
    <w:p>
      <w:pPr>
        <w:pStyle w:val="Normal"/>
        <w:jc w:val="both"/>
        <w:rPr/>
      </w:pPr>
      <w:r>
        <w:rPr/>
        <w:tab/>
        <w:t>Mark Frevert</w:t>
      </w:r>
    </w:p>
    <w:p>
      <w:pPr>
        <w:pStyle w:val="Body"/>
        <w:ind w:start="0" w:end="0"/>
        <w:rPr/>
      </w:pPr>
      <w:r>
        <w:rPr/>
      </w:r>
    </w:p>
    <w:sectPr>
      <w:type w:val="continuous"/>
      <w:pgSz w:w="12240" w:h="15840"/>
      <w:pgMar w:left="720" w:right="720" w:gutter="0" w:header="432" w:top="488" w:footer="432" w:bottom="100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/mnt/main-storage/datasets/enron-docs/doc/Monthly_Report102000.doc</w:t>
    </w:r>
    <w:r>
      <w:rPr>
        <w:rStyle w:val="PageNumber"/>
        <w:sz w:val="16"/>
      </w:rPr>
      <w:fldChar w:fldCharType="end"/>
    </w:r>
    <w:r>
      <w:rPr>
        <w:rStyle w:val="PageNumber"/>
        <w:sz w:val="16"/>
      </w:rPr>
      <w:tab/>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r>
      <w:rPr>
        <w:rStyle w:val="PageNumber"/>
        <w:rFonts w:cs="Times New Roman" w:ascii="Times New Roman" w:hAnsi="Times New Roman"/>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lvl>
  </w:abstractNum>
  <w:abstractNum w:abstractNumId="4">
    <w:lvl w:ilvl="0">
      <w:start w:val="3"/>
      <w:numFmt w:val="decimal"/>
      <w:lvlText w:val="%1."/>
      <w:lvlJc w:val="start"/>
      <w:pPr>
        <w:tabs>
          <w:tab w:val="num" w:pos="1080"/>
        </w:tabs>
        <w:ind w:start="1080" w:hanging="360"/>
      </w:pPr>
      <w:rPr/>
    </w:lvl>
  </w:abstractNum>
  <w:abstractNum w:abstractNumId="5">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108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abstractNum w:abstractNumId="1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5z0">
    <w:name w:val="WW8Num25z0"/>
    <w:qFormat/>
    <w:rPr>
      <w:rFonts w:ascii="Symbol" w:hAnsi="Symbol" w:cs="Symbol"/>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3z0">
    <w:name w:val="WW8Num43z0"/>
    <w:qFormat/>
    <w:rPr/>
  </w:style>
  <w:style w:type="character" w:styleId="WW8Num44z0">
    <w:name w:val="WW8Num44z0"/>
    <w:qFormat/>
    <w:rPr/>
  </w:style>
  <w:style w:type="character" w:styleId="WW8Num50z0">
    <w:name w:val="WW8Num50z0"/>
    <w:qFormat/>
    <w:rPr/>
  </w:style>
  <w:style w:type="character" w:styleId="WW8Num55z0">
    <w:name w:val="WW8Num55z0"/>
    <w:qFormat/>
    <w:rPr>
      <w:rFonts w:ascii="Tms Rmn;Times New Roman" w:hAnsi="Tms Rmn;Times New Roman" w:cs="Tms Rmn;Times New Roman"/>
    </w:rPr>
  </w:style>
  <w:style w:type="character" w:styleId="WW8Num58z0">
    <w:name w:val="WW8Num58z0"/>
    <w:qFormat/>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2z0">
    <w:name w:val="WW8Num62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2z0">
    <w:name w:val="WW8Num72z0"/>
    <w:qFormat/>
    <w:rPr/>
  </w:style>
  <w:style w:type="character" w:styleId="WW8Num72z1">
    <w:name w:val="WW8Num72z1"/>
    <w:qFormat/>
    <w:rPr>
      <w:rFonts w:ascii="Times New Roman" w:hAnsi="Times New Roman" w:eastAsia="Times New Roman" w:cs="Times New Roman"/>
    </w:rPr>
  </w:style>
  <w:style w:type="character" w:styleId="WW8Num73z1">
    <w:name w:val="WW8Num73z1"/>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8z0">
    <w:name w:val="WW8Num78z0"/>
    <w:qFormat/>
    <w:rPr/>
  </w:style>
  <w:style w:type="character" w:styleId="WW8Num80z0">
    <w:name w:val="WW8Num80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2000-10-19T18:45:00Z</dcterms:created>
  <dc:creator>kyoung</dc:creator>
  <dc:description/>
  <dc:language>en-CA</dc:language>
  <cp:lastModifiedBy>kyoung</cp:lastModifiedBy>
  <cp:lastPrinted>2000-10-04T16:52:00Z</cp:lastPrinted>
  <dcterms:modified xsi:type="dcterms:W3CDTF">2000-10-20T13:38:00Z</dcterms:modified>
  <cp:revision>4</cp:revision>
  <dc:subject/>
  <dc:title>MEMO FORM</dc:title>
</cp:coreProperties>
</file>