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September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Synfuel (Wayne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Fireball (EGM Bid for Triton Coal) (Wayne Gresham/John Boomer/Alan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Itochu/Ashton Project (Australia) (David Minns)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Dispute w/ AT Massey on their deficient coal deliveries (Wayne Gresham/Andy Edison) (Resolved)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Anker Coal (Wayne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Cline Restructuring (Wayne Gresham)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Gresham/Andy Edison) (Resolved)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NoxTech Demonstration and Emissions Management Services Agreements w/ TVA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w/Dynegy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w/Exelon Generation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Barclay’s Purchase/Financing of SO</w:t>
      </w:r>
      <w:r>
        <w:rPr>
          <w:color w:val="000000"/>
          <w:sz w:val="22"/>
          <w:szCs w:val="20"/>
          <w:vertAlign w:val="subscript"/>
        </w:rPr>
        <w:t>2</w:t>
      </w:r>
      <w:r>
        <w:rPr>
          <w:color w:val="000000"/>
          <w:sz w:val="22"/>
          <w:szCs w:val="20"/>
        </w:rPr>
        <w:t xml:space="preserve"> Allowances Portfolio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DERC Trading Contract Development (Bob Bruce/John Boomer)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Develop EMA standard form of Master SO2 allowance agreement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NOx Allowance Forward Sales (Bob Bruce)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Heading4"/>
        <w:tabs>
          <w:tab w:val="left" w:pos="720" w:leader="none"/>
        </w:tabs>
        <w:ind w:hanging="0" w:start="0"/>
        <w:rPr/>
      </w:pPr>
      <w:r>
        <w:rPr/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Oz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Nikita (Gareth Bahlmann/Anne Koehler) (closed Sept. 2001)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and Ammonia/Fertilizer Trading Start-Up (Alan Aronowitz/Mike Robison/John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Project Popcorn (North Sea) (Robert Quick)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Cruise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Formosa /ELFI Plastics Purchase &amp; Sale Contract (John Viverito/Alan Aronowitz) (closed Sept.27)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Trading Start-Up (John Viverito/Alan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Liquids Market Disruption Events due to Sept. 11 (Alan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Diamond Koch Exchange Agreement (John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Hyundai Export Prepayment Facility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Restructuring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Methanol Marketing Agreement – The Darwin Methanol Company Pte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BORCO – Liquids Storage Financing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Timber” Isooctane Conversion Agreement – EOTT\EGM (Mike Robison)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Vaalco Gabon FPSO Term Sheet (Mike Robison/ 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Vopak Strategic Alliance Agreement relating to petrochemicals and refined products       business (Mike Robison/John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Singapore Office’s Counterparty Credit Enhancement Payment Guarantees (Matt Lee)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Trade Flow Financings (Mike Robison)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BCI Louisiana, LLC MOU (John Viverito/Mike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Term Sheet with Westlake for purchase/ sale of high density polyethylene and linear low density polyethylene (John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Term Sheet with Lyondell for purchase and sale of styrene monomer (John Viverito)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ECT Investments, Inc. trading foreign listed options through Goldman Sachs International and foreign equities and equity indices through U.K. and European brokers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Multiple electronic trading platforms for Houston and London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Multiple Give-up Agreements for LIFFE and EUREX trades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Singapore financial products trading (Matthias Lee)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Asia Equity Trading (Bob Bruce/Alan Aronowitz/David Minns)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Chinese Wall Policy Revisions (Bob Bruce)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Equity trading group permissible access to intranet sites (Bob Bruce)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Ongoing development of spot, firm mid-market and firm long trading contract forms and procedures (Alan Aronowitz/Robert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Call Option Agreements w/ carriers for Long-Term Capacity (Walter Keneally/Alan Aronowitz)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Frito-Lay Term Capacity Transaction (Mexico)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Development of EOL GTC’s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Project Big Deal (carrier output contracts) (Bob Bruce/Alan Aronowitz)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Shipper requirements contracts (Walter Keneally/Bob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Revision of Intermodal GTC’s/Drayage Service Agreement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Ongoing Review and Processing of Third-Party Logistics Contracts (Bob Bruce)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b w:val="false"/>
          <w:bCs w:val="false"/>
        </w:rPr>
      </w:pPr>
      <w:r>
        <w:rPr/>
        <w:t xml:space="preserve">Weather 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Revise EOL GTCs to enable ENA to trade worldwide sites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Draft global weather template to present to WRMA as a proposed industry standard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Coordinate drafting of EES Weather derivative templates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European Weather Trading (Justin Boyd)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(Global Risk Markets) 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(capitalization of Bermuda transformer)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Contingent Call Option Products and related hedging (Brent Hendry/Limor Nissan/Alan       Aronowitz)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KCS Financing Insurance Wrap (Ned Crady/Alan Aronowitz/Dominic Carolan) (closed    August 3, 2001)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Passport (Benton Oil) (pre-pay fixed leg of crude oil hedge)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Green (Forest Oil)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EEX Insurance Wrap Amendment (Ned Crady/Dominic Carolan)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Time charter default derivative (Janet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Insurance claims trading (setting up Bermuda-based JV with GRS) (Janet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Phillips Petroleum (purchase of insurance claim) (Janet Wood) (closed)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Risk Transfer/Insurance Operating Guidelines for US and UK(Alan Aronowitz)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Insurance Organizational Entity Restructuring (Alan Aronowitz /Ned Crady)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Sale of Interest in EcoElectrica [Puerto Rico] LNG Receiving &amp; Regasification Terminal/Power Plant.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Eco Electrica [Puerto Rico] – 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Calypso Regulated Pipeline: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1380" w:start="2100" w:end="0"/>
        <w:rPr>
          <w:sz w:val="22"/>
        </w:rPr>
      </w:pPr>
      <w:r>
        <w:rPr>
          <w:sz w:val="22"/>
        </w:rPr>
        <w:t>Development, Construction &amp; Financing of Regulated Assets (Ned Crady)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1380" w:start="2100" w:end="0"/>
        <w:rPr>
          <w:sz w:val="22"/>
        </w:rPr>
      </w:pPr>
      <w:r>
        <w:rPr>
          <w:sz w:val="22"/>
        </w:rPr>
        <w:t>Marketing of Vaporized LNG in Florida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Terminal/Export Pipeline – Development, Construction &amp; Financing of Non-Regulated Assets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Nigeria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Egypt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Angola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West Coast (US/Baja Mexico) Receiving Terminal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 IPP) LNG Fuel Supply/Transportation – Nigeria LNG (Robert Quick/Dan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Greenfield LNG Vessel Financing Workout (Jordan Mintz/Dan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Pacific Rim LNG Fuel Organization/Merchant Trading (Matt Lee/Dan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Japan LNG Receiving Terminal (Matt Lee/Dan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US Destination Spot LNG Fuel Origination/Merchant Trading (Dan Rogers/Robert Quick/Matt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Peru LNG Project – Initial Due Diligence/Structuring (Dominic Carolan/Dan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Truckline LNG (Lake Charles) Terminal Access Agreement w/BG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 xml:space="preserve">Trinidad LNG Supply to Elba Island (Repsol) (Dan Rogers/Robert Quick/Dominic Carolan) 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RasGas [Qatar] Mid-Term LNG Fuel Origination/Merchant Trading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(Arcos) LNG Fuel Supply/Transportation (Robert Quick/Dan Rogers/Matt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Dominican Republic LNG Receiving Terminal/Power Plant.  (L/C has been issued to Enron by Union Fenosa.)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Japan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Project Sato/NI Joint Venture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TOCOM Membership Evaluation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Joint Weather Marketing Agreement w/ Hitachi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Tokai Bank </w:t>
      </w:r>
      <w:r>
        <w:rPr>
          <w:rFonts w:eastAsia="MS Mincho;ＭＳ 明朝"/>
          <w:sz w:val="22"/>
          <w:lang w:eastAsia="ja-JP"/>
        </w:rPr>
        <w:t>(Refinance</w:t>
      </w:r>
      <w:r>
        <w:rPr>
          <w:rFonts w:eastAsia="MS Mincho;ＭＳ 明朝"/>
          <w:sz w:val="22"/>
          <w:lang w:eastAsia="ja-JP"/>
        </w:rPr>
        <w:t>/sale of dry bulk carrier for current lender</w:t>
      </w:r>
      <w:r>
        <w:rPr>
          <w:rFonts w:eastAsia="MS Mincho;ＭＳ 明朝"/>
          <w:sz w:val="22"/>
          <w:lang w:eastAsia="ja-JP"/>
        </w:rPr>
        <w:t>)</w:t>
      </w:r>
      <w:r>
        <w:rPr>
          <w:rFonts w:eastAsia="MS Mincho;ＭＳ 明朝"/>
          <w:sz w:val="22"/>
          <w:lang w:eastAsia="ja-JP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Itochu </w:t>
      </w:r>
      <w:r>
        <w:rPr>
          <w:rFonts w:eastAsia="MS Mincho;ＭＳ 明朝"/>
          <w:sz w:val="22"/>
          <w:lang w:eastAsia="ja-JP"/>
        </w:rPr>
        <w:t>(Financial</w:t>
      </w:r>
      <w:r>
        <w:rPr>
          <w:rFonts w:eastAsia="MS Mincho;ＭＳ 明朝"/>
          <w:sz w:val="22"/>
          <w:lang w:eastAsia="ja-JP"/>
        </w:rPr>
        <w:t xml:space="preserve"> swap based on WTI</w:t>
      </w:r>
      <w:r>
        <w:rPr>
          <w:rFonts w:eastAsia="MS Mincho;ＭＳ 明朝"/>
          <w:sz w:val="22"/>
          <w:lang w:eastAsia="ja-JP"/>
        </w:rPr>
        <w:t>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Mitsui OSK </w:t>
      </w:r>
      <w:r>
        <w:rPr>
          <w:rFonts w:eastAsia="MS Mincho;ＭＳ 明朝"/>
          <w:sz w:val="22"/>
          <w:lang w:eastAsia="ja-JP"/>
        </w:rPr>
        <w:t>(</w:t>
      </w:r>
      <w:r>
        <w:rPr>
          <w:rFonts w:eastAsia="MS Mincho;ＭＳ 明朝"/>
          <w:sz w:val="22"/>
          <w:lang w:eastAsia="ja-JP"/>
        </w:rPr>
        <w:t>Bunker C financial swap / zero cost collar</w:t>
      </w:r>
      <w:r>
        <w:rPr>
          <w:rFonts w:eastAsia="MS Mincho;ＭＳ 明朝"/>
          <w:sz w:val="22"/>
          <w:lang w:eastAsia="ja-JP"/>
        </w:rPr>
        <w:t>)</w:t>
      </w:r>
      <w:r>
        <w:rPr>
          <w:rFonts w:eastAsia="MS Mincho;ＭＳ 明朝"/>
          <w:sz w:val="22"/>
          <w:lang w:eastAsia="ja-JP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Tokyo Gas Energy </w:t>
      </w:r>
      <w:r>
        <w:rPr>
          <w:rFonts w:eastAsia="MS Mincho;ＭＳ 明朝"/>
          <w:sz w:val="22"/>
          <w:lang w:eastAsia="ja-JP"/>
        </w:rPr>
        <w:t>(</w:t>
      </w:r>
      <w:r>
        <w:rPr>
          <w:rFonts w:eastAsia="MS Mincho;ＭＳ 明朝"/>
          <w:sz w:val="22"/>
          <w:lang w:eastAsia="ja-JP"/>
        </w:rPr>
        <w:t xml:space="preserve">Propane </w:t>
      </w:r>
      <w:r>
        <w:rPr>
          <w:rFonts w:eastAsia="MS Mincho;ＭＳ 明朝"/>
          <w:sz w:val="22"/>
          <w:lang w:eastAsia="ja-JP"/>
        </w:rPr>
        <w:t>financial</w:t>
      </w:r>
      <w:r>
        <w:rPr>
          <w:rFonts w:eastAsia="MS Mincho;ＭＳ 明朝"/>
          <w:sz w:val="22"/>
          <w:lang w:eastAsia="ja-JP"/>
        </w:rPr>
        <w:t xml:space="preserve"> swap and cap</w:t>
      </w:r>
      <w:r>
        <w:rPr>
          <w:rFonts w:eastAsia="MS Mincho;ＭＳ 明朝"/>
          <w:sz w:val="22"/>
          <w:lang w:eastAsia="ja-JP"/>
        </w:rPr>
        <w:t>)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MS Mincho;ＭＳ 明朝"/>
          <w:lang w:eastAsia="ja-JP"/>
        </w:rPr>
        <w:t>JA Keizaiern Aichi</w:t>
      </w:r>
      <w:r>
        <w:rPr>
          <w:rFonts w:eastAsia="MS Mincho;ＭＳ 明朝"/>
          <w:lang w:eastAsia="ja-JP"/>
        </w:rPr>
        <w:t xml:space="preserve"> (Financial</w:t>
      </w:r>
      <w:r>
        <w:rPr>
          <w:rFonts w:eastAsia="MS Mincho;ＭＳ 明朝"/>
          <w:lang w:eastAsia="ja-JP"/>
        </w:rPr>
        <w:t xml:space="preserve"> swap</w:t>
      </w:r>
      <w:r>
        <w:rPr>
          <w:rFonts w:eastAsia="MS Mincho;ＭＳ 明朝"/>
          <w:lang w:eastAsia="ja-JP"/>
        </w:rPr>
        <w:t>)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/mnt/main-storage/datasets/enron-docs/doc/Monthly_Legal_Report.September_2001.doc</w:t>
      </w:r>
      <w:r>
        <w:rPr>
          <w:sz w:val="16"/>
        </w:rPr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2100" w:hanging="360"/>
      </w:pPr>
    </w:lvl>
    <w:lvl w:ilvl="2">
      <w:start w:val="1"/>
      <w:numFmt w:val="lowerRoman"/>
      <w:lvlText w:val="%3."/>
      <w:lvlJc w:val="end"/>
      <w:pPr>
        <w:tabs>
          <w:tab w:val="num" w:pos="2820"/>
        </w:tabs>
        <w:ind w:start="2820" w:hanging="180"/>
      </w:pPr>
    </w:lvl>
    <w:lvl w:ilvl="3">
      <w:start w:val="1"/>
      <w:numFmt w:val="decimal"/>
      <w:lvlText w:val="%4."/>
      <w:lvlJc w:val="start"/>
      <w:pPr>
        <w:tabs>
          <w:tab w:val="num" w:pos="3540"/>
        </w:tabs>
        <w:ind w:start="3540" w:hanging="360"/>
      </w:pPr>
    </w:lvl>
    <w:lvl w:ilvl="4">
      <w:start w:val="1"/>
      <w:numFmt w:val="lowerLetter"/>
      <w:lvlText w:val="%5."/>
      <w:lvlJc w:val="start"/>
      <w:pPr>
        <w:tabs>
          <w:tab w:val="num" w:pos="4260"/>
        </w:tabs>
        <w:ind w:start="4260" w:hanging="360"/>
      </w:pPr>
    </w:lvl>
    <w:lvl w:ilvl="5">
      <w:start w:val="1"/>
      <w:numFmt w:val="lowerRoman"/>
      <w:lvlText w:val="%6."/>
      <w:lvlJc w:val="end"/>
      <w:pPr>
        <w:tabs>
          <w:tab w:val="num" w:pos="4980"/>
        </w:tabs>
        <w:ind w:start="4980" w:hanging="180"/>
      </w:pPr>
    </w:lvl>
    <w:lvl w:ilvl="6">
      <w:start w:val="1"/>
      <w:numFmt w:val="decimal"/>
      <w:lvlText w:val="%7."/>
      <w:lvlJc w:val="start"/>
      <w:pPr>
        <w:tabs>
          <w:tab w:val="num" w:pos="5700"/>
        </w:tabs>
        <w:ind w:start="5700" w:hanging="360"/>
      </w:pPr>
    </w:lvl>
    <w:lvl w:ilvl="7">
      <w:start w:val="1"/>
      <w:numFmt w:val="lowerLetter"/>
      <w:lvlText w:val="%8."/>
      <w:lvlJc w:val="start"/>
      <w:pPr>
        <w:tabs>
          <w:tab w:val="num" w:pos="6420"/>
        </w:tabs>
        <w:ind w:start="6420" w:hanging="360"/>
      </w:pPr>
    </w:lvl>
    <w:lvl w:ilvl="8">
      <w:start w:val="1"/>
      <w:numFmt w:val="lowerRoman"/>
      <w:lvlText w:val="%9."/>
      <w:lvlJc w:val="end"/>
      <w:pPr>
        <w:tabs>
          <w:tab w:val="num" w:pos="7140"/>
        </w:tabs>
        <w:ind w:start="7140" w:hanging="18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150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2001-09-19T13:45:00Z</dcterms:created>
  <dc:creator>mhaedic</dc:creator>
  <dc:description/>
  <dc:language>en-CA</dc:language>
  <cp:lastModifiedBy>aaronow</cp:lastModifiedBy>
  <cp:lastPrinted>2001-07-25T11:25:00Z</cp:lastPrinted>
  <dcterms:modified xsi:type="dcterms:W3CDTF">2001-10-08T12:11:00Z</dcterms:modified>
  <cp:revision>12</cp:revision>
  <dc:subject/>
  <dc:title>ENRON NET WORKS LLC MONTHLY LEGAL REPORT</dc:title>
</cp:coreProperties>
</file>