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AUGUST 2000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Coal</w:t>
      </w:r>
    </w:p>
    <w:p>
      <w:pPr>
        <w:pStyle w:val="Normal"/>
        <w:numPr>
          <w:ilvl w:val="0"/>
          <w:numId w:val="2"/>
        </w:numPr>
        <w:rPr/>
      </w:pPr>
      <w:r>
        <w:rPr/>
        <w:t>Sempra synfuel Transaction (Wayne Gresham)</w:t>
      </w:r>
    </w:p>
    <w:p>
      <w:pPr>
        <w:pStyle w:val="Normal"/>
        <w:numPr>
          <w:ilvl w:val="0"/>
          <w:numId w:val="2"/>
        </w:numPr>
        <w:rPr/>
      </w:pPr>
      <w:r>
        <w:rPr/>
        <w:t>AIG synfuel Transaction (Wayne Gresham)</w:t>
      </w:r>
    </w:p>
    <w:p>
      <w:pPr>
        <w:pStyle w:val="Normal"/>
        <w:numPr>
          <w:ilvl w:val="0"/>
          <w:numId w:val="2"/>
        </w:numPr>
        <w:rPr/>
      </w:pPr>
      <w:r>
        <w:rPr/>
        <w:t>Panther Restructure (Alan Aronowitz)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Emissions/Clean Energy Solutions</w:t>
      </w:r>
    </w:p>
    <w:p>
      <w:pPr>
        <w:pStyle w:val="Normal"/>
        <w:numPr>
          <w:ilvl w:val="0"/>
          <w:numId w:val="3"/>
        </w:numPr>
        <w:rPr/>
      </w:pPr>
      <w:r>
        <w:rPr/>
        <w:t>NOx Tech Pilot Agreement with Consumers Energy (Marcus Nettelton)</w:t>
      </w:r>
    </w:p>
    <w:p>
      <w:pPr>
        <w:pStyle w:val="Normal"/>
        <w:numPr>
          <w:ilvl w:val="0"/>
          <w:numId w:val="3"/>
        </w:numPr>
        <w:rPr/>
      </w:pPr>
      <w:r>
        <w:rPr/>
        <w:t>NOx Tech Warrants Purchase (Wayne Gresham/Alan Aronowitz)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tabs>
          <w:tab w:val="left" w:pos="720" w:leader="none"/>
        </w:tabs>
        <w:rPr>
          <w:b/>
          <w:bCs/>
        </w:rPr>
      </w:pPr>
      <w:r>
        <w:rPr>
          <w:b/>
          <w:bCs/>
        </w:rPr>
        <w:t xml:space="preserve">Liquids/Global Products 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Empresa Generadora de Electricidad Haina, S.A. – ECTGR (South America) (Mike Robison)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First Gas Power Corporation (Philippines) – M/V Pacific Virgo/Rejection of Off Spc Cargo (Matt Lee)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Fu Bao Power Generating Co. Ltd. (Taiwan) (Matt Lee/Mike Robison)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Rio Polimeros Limitada (MOU) (Mike Robison)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Petroecuador Tender – ECTGR (Mike Robison)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Ethanol Offtake and Marketing Agreement – ECFC/Cascade Grain Products (Mike Robison)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Maersk Marlin – Demurrage Claim (Harry Collins)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West Coast Crude Marketing Agreement with EOTT (Harry Collins)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360" w:start="720" w:end="0"/>
        <w:rPr/>
      </w:pPr>
      <w:r>
        <w:rPr/>
        <w:t>Oil Spill Plan Training (Alan Aronowitz/Harry Collins)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420" w:start="780" w:end="0"/>
        <w:rPr/>
      </w:pPr>
      <w:r>
        <w:rPr/>
        <w:t>Customs Self-Audit and Policy Development (Mike Robison)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420" w:start="780" w:end="0"/>
        <w:rPr/>
      </w:pPr>
      <w:r>
        <w:rPr/>
        <w:t>Dabhol Power Company – Enron Fuels International (India) (Mike Robison)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Financial Products Trading (Sara Shackleton)</w:t>
      </w:r>
    </w:p>
    <w:p>
      <w:pPr>
        <w:pStyle w:val="Normal"/>
        <w:numPr>
          <w:ilvl w:val="0"/>
          <w:numId w:val="4"/>
        </w:numPr>
        <w:rPr/>
      </w:pPr>
      <w:r>
        <w:rPr/>
        <w:t>Global hedging of interest rate/FX/equities</w:t>
      </w:r>
    </w:p>
    <w:p>
      <w:pPr>
        <w:pStyle w:val="Normal"/>
        <w:numPr>
          <w:ilvl w:val="0"/>
          <w:numId w:val="4"/>
        </w:numPr>
        <w:rPr/>
      </w:pPr>
      <w:r>
        <w:rPr/>
        <w:t>Integrate Tokyo office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Agricultural Trading (Sara Shackleton)</w:t>
      </w:r>
    </w:p>
    <w:p>
      <w:pPr>
        <w:pStyle w:val="Normal"/>
        <w:ind w:start="360" w:end="0"/>
        <w:rPr/>
      </w:pPr>
      <w:r>
        <w:rPr/>
        <w:t>1.   ATOM licensing (U.S.)</w:t>
      </w:r>
    </w:p>
    <w:p>
      <w:pPr>
        <w:pStyle w:val="Normal"/>
        <w:ind w:start="360" w:end="0"/>
        <w:rPr/>
      </w:pPr>
      <w:r>
        <w:rPr/>
        <w:t>2.</w:t>
        <w:tab/>
        <w:t>CFTC issues (grains, meats)</w:t>
      </w:r>
    </w:p>
    <w:p>
      <w:pPr>
        <w:pStyle w:val="Normal"/>
        <w:numPr>
          <w:ilvl w:val="0"/>
          <w:numId w:val="4"/>
        </w:numPr>
        <w:rPr/>
      </w:pPr>
      <w:r>
        <w:rPr/>
        <w:t>Physical trading structures</w:t>
      </w:r>
    </w:p>
    <w:p>
      <w:pPr>
        <w:pStyle w:val="Normal"/>
        <w:numPr>
          <w:ilvl w:val="0"/>
          <w:numId w:val="4"/>
        </w:numPr>
        <w:rPr/>
      </w:pPr>
      <w:r>
        <w:rPr/>
        <w:t>Softs trading profile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Weather (Brent Hendry)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autoSpaceDE w:val="false"/>
        <w:spacing w:lineRule="atLeast" w:line="240"/>
        <w:rPr>
          <w:color w:val="000000"/>
        </w:rPr>
      </w:pPr>
      <w:r>
        <w:rPr>
          <w:color w:val="000000"/>
        </w:rPr>
        <w:t>ELRiX online weather trading site and documentation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autoSpaceDE w:val="false"/>
        <w:spacing w:lineRule="atLeast" w:line="240"/>
        <w:rPr>
          <w:color w:val="000000"/>
        </w:rPr>
      </w:pPr>
      <w:r>
        <w:rPr>
          <w:color w:val="000000"/>
        </w:rPr>
        <w:t>EOL survey for Bermuda swap counterparties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Insurance (Lou Stoler)</w:t>
      </w:r>
    </w:p>
    <w:p>
      <w:pPr>
        <w:pStyle w:val="Normal"/>
        <w:numPr>
          <w:ilvl w:val="1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Peaker Project</w:t>
      </w:r>
    </w:p>
    <w:p>
      <w:pPr>
        <w:pStyle w:val="Normal"/>
        <w:numPr>
          <w:ilvl w:val="1"/>
          <w:numId w:val="5"/>
        </w:numPr>
        <w:tabs>
          <w:tab w:val="clear" w:pos="720"/>
        </w:tabs>
        <w:ind w:hanging="360" w:start="720" w:end="0"/>
        <w:rPr/>
      </w:pPr>
      <w:r>
        <w:rPr/>
        <w:t>Enron Re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/mnt/main-storage/datasets/enron-docs/doc/Monthly_Legal_Report.August_2000-540b57aaa6f0f023c6f5f1ffbe9029ee2f5d4c209f92761548b97f9a3fe2cd61.doc</w:t>
      </w:r>
      <w:r>
        <w:rPr>
          <w:sz w:val="16"/>
        </w:rPr>
        <w:fldChar w:fldCharType="end"/>
      </w:r>
    </w:p>
    <w:sectPr>
      <w:headerReference w:type="default" r:id="rId2"/>
      <w:type w:val="nextPage"/>
      <w:pgSz w:w="12240" w:h="15840"/>
      <w:pgMar w:left="1800" w:right="1800" w:gutter="0" w:header="72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8/25/2000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1500"/>
        </w:tabs>
        <w:ind w:start="1500" w:hanging="360"/>
      </w:pPr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2000-08-22T18:13:00Z</dcterms:created>
  <dc:creator>mhaedic</dc:creator>
  <dc:description/>
  <dc:language>en-CA</dc:language>
  <cp:lastModifiedBy>jdavis5</cp:lastModifiedBy>
  <cp:lastPrinted>2000-08-25T15:16:00Z</cp:lastPrinted>
  <dcterms:modified xsi:type="dcterms:W3CDTF">2000-08-25T18:50:00Z</dcterms:modified>
  <cp:revision>24</cp:revision>
  <dc:subject/>
  <dc:title>ENRON NET WORKS LLC MONTHLY LEGAL REPORT</dc:title>
</cp:coreProperties>
</file>