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May 16, 2000</w:t>
      </w:r>
    </w:p>
    <w:p>
      <w:pPr>
        <w:pStyle w:val="Normal"/>
        <w:jc w:val="both"/>
        <w:rPr/>
      </w:pPr>
      <w:r>
        <w:rPr/>
      </w:r>
    </w:p>
    <w:p>
      <w:pPr>
        <w:pStyle w:val="Normal"/>
        <w:jc w:val="both"/>
        <w:rPr/>
      </w:pPr>
      <w:r>
        <w:rPr/>
      </w:r>
    </w:p>
    <w:p>
      <w:pPr>
        <w:pStyle w:val="Normal"/>
        <w:jc w:val="both"/>
        <w:rPr>
          <w:b/>
        </w:rPr>
      </w:pPr>
      <w:r>
        <w:rPr>
          <w:b/>
        </w:rPr>
        <w:t xml:space="preserve">Via Federal Express and </w:t>
      </w:r>
    </w:p>
    <w:p>
      <w:pPr>
        <w:pStyle w:val="Heading8"/>
        <w:ind w:hanging="0" w:start="0"/>
        <w:rPr/>
      </w:pPr>
      <w:r>
        <w:rPr/>
        <w:t>Fax No.  505-848-1889</w:t>
      </w:r>
    </w:p>
    <w:p>
      <w:pPr>
        <w:pStyle w:val="Normal"/>
        <w:jc w:val="both"/>
        <w:rPr>
          <w:u w:val="single"/>
        </w:rPr>
      </w:pPr>
      <w:r>
        <w:rPr>
          <w:u w:val="single"/>
        </w:rPr>
      </w:r>
    </w:p>
    <w:p>
      <w:pPr>
        <w:pStyle w:val="Normal"/>
        <w:jc w:val="both"/>
        <w:rPr/>
      </w:pPr>
      <w:r>
        <w:rPr/>
        <w:t>Mr. Lynn H. Slade</w:t>
      </w:r>
    </w:p>
    <w:p>
      <w:pPr>
        <w:pStyle w:val="Normal"/>
        <w:jc w:val="both"/>
        <w:rPr/>
      </w:pPr>
      <w:r>
        <w:rPr/>
        <w:t>Modrall, Sperling, Roehl, Harris &amp; Sisk, P.A.</w:t>
      </w:r>
    </w:p>
    <w:p>
      <w:pPr>
        <w:pStyle w:val="Normal"/>
        <w:widowControl w:val="false"/>
        <w:jc w:val="both"/>
        <w:rPr/>
      </w:pPr>
      <w:r>
        <w:rPr/>
        <w:t>500 Fourth Street NW</w:t>
      </w:r>
    </w:p>
    <w:p>
      <w:pPr>
        <w:pStyle w:val="Normal"/>
        <w:widowControl w:val="false"/>
        <w:jc w:val="both"/>
        <w:rPr/>
      </w:pPr>
      <w:r>
        <w:rPr/>
        <w:t>Albuquerque, New Mexico  87103-2168</w:t>
      </w:r>
    </w:p>
    <w:p>
      <w:pPr>
        <w:pStyle w:val="Normal"/>
        <w:jc w:val="both"/>
        <w:rPr/>
      </w:pPr>
      <w:r>
        <w:rPr/>
      </w:r>
    </w:p>
    <w:p>
      <w:pPr>
        <w:pStyle w:val="Normal"/>
        <w:jc w:val="both"/>
        <w:rPr/>
      </w:pPr>
      <w:r>
        <w:rPr/>
        <w:tab/>
        <w:t>Re:</w:t>
        <w:tab/>
        <w:t>Engagement Agreement</w:t>
      </w:r>
    </w:p>
    <w:p>
      <w:pPr>
        <w:pStyle w:val="Normal"/>
        <w:jc w:val="both"/>
        <w:rPr/>
      </w:pPr>
      <w:r>
        <w:rPr/>
      </w:r>
    </w:p>
    <w:p>
      <w:pPr>
        <w:pStyle w:val="Normal"/>
        <w:jc w:val="both"/>
        <w:rPr/>
      </w:pPr>
      <w:r>
        <w:rPr/>
        <w:t>Dear Mr. Slade:</w:t>
      </w:r>
    </w:p>
    <w:p>
      <w:pPr>
        <w:pStyle w:val="Normal"/>
        <w:jc w:val="both"/>
        <w:rPr/>
      </w:pPr>
      <w:r>
        <w:rPr/>
      </w:r>
    </w:p>
    <w:p>
      <w:pPr>
        <w:pStyle w:val="Normal"/>
        <w:jc w:val="both"/>
        <w:rPr/>
      </w:pPr>
      <w:r>
        <w:rPr/>
        <w:tab/>
        <w:t>This letter confirms the engagement of your firm, Modrall, Sperling, Roehl, Harris &amp; Sisk, P.A. (the "Firm"), by Enron North America Corp. and/or its affiliated companies (collectively, “ENA”).  The terms of the engagement shall be set forth below.</w:t>
      </w:r>
    </w:p>
    <w:p>
      <w:pPr>
        <w:pStyle w:val="Normal"/>
        <w:jc w:val="both"/>
        <w:rPr/>
      </w:pPr>
      <w:r>
        <w:rPr/>
      </w:r>
    </w:p>
    <w:p>
      <w:pPr>
        <w:pStyle w:val="Normal"/>
        <w:jc w:val="both"/>
        <w:rPr/>
      </w:pPr>
      <w:r>
        <w:rPr/>
        <w:tab/>
      </w:r>
      <w:r>
        <w:rPr/>
        <w:fldChar w:fldCharType="begin"/>
      </w:r>
      <w:r>
        <w:rPr/>
        <w:instrText xml:space="preserve"> SEQ AutoNr \* ARABIC </w:instrText>
      </w:r>
      <w:r>
        <w:rPr/>
        <w:fldChar w:fldCharType="separate"/>
      </w:r>
      <w:r>
        <w:rPr/>
        <w:t>1</w:t>
      </w:r>
      <w:r>
        <w:rPr/>
        <w:fldChar w:fldCharType="end"/>
      </w:r>
      <w:r>
        <w:rPr/>
        <w:tab/>
      </w:r>
      <w:r>
        <w:rPr>
          <w:u w:val="single"/>
        </w:rPr>
        <w:t>Scope of Agreement</w:t>
      </w:r>
      <w:r>
        <w:rPr/>
        <w:t>.  The Firm has been engaged to advise ENA on such issues and related services as shall be requested from time to time by any of the Responsible Attorneys identified in this Agreement.  The Firm understands and agrees that this Engagement Agreement is not exclusive to the Firm, and that ENA retains the right to retain other counsel to provide the same or similar services.  The Firm’s engagement under this Agreement may be terminated at any time by either ENA or the Firm.</w:t>
      </w:r>
    </w:p>
    <w:p>
      <w:pPr>
        <w:pStyle w:val="Normal"/>
        <w:jc w:val="both"/>
        <w:rPr/>
      </w:pPr>
      <w:r>
        <w:rPr/>
      </w:r>
    </w:p>
    <w:p>
      <w:pPr>
        <w:pStyle w:val="Normal"/>
        <w:jc w:val="both"/>
        <w:rPr/>
      </w:pPr>
      <w:r>
        <w:rPr/>
        <w:tab/>
      </w:r>
      <w:r>
        <w:rPr/>
        <w:fldChar w:fldCharType="begin"/>
      </w:r>
      <w:r>
        <w:rPr/>
        <w:instrText xml:space="preserve"> SEQ AutoNr \* ARABIC </w:instrText>
      </w:r>
      <w:r>
        <w:rPr/>
        <w:fldChar w:fldCharType="separate"/>
      </w:r>
      <w:r>
        <w:rPr/>
        <w:t>2</w:t>
      </w:r>
      <w:r>
        <w:rPr/>
        <w:fldChar w:fldCharType="end"/>
      </w:r>
      <w:r>
        <w:rPr/>
        <w:tab/>
      </w:r>
      <w:r>
        <w:rPr>
          <w:u w:val="single"/>
        </w:rPr>
        <w:t>Payment</w:t>
      </w:r>
      <w:r>
        <w:rPr/>
        <w:t>.  Fees for services provided by the Firm shall be paid, and associated expenses reimbursed, in accordance with the following provisions for payment:</w:t>
      </w:r>
    </w:p>
    <w:p>
      <w:pPr>
        <w:pStyle w:val="Normal"/>
        <w:jc w:val="both"/>
        <w:rPr/>
      </w:pPr>
      <w:r>
        <w:rPr/>
      </w:r>
    </w:p>
    <w:p>
      <w:pPr>
        <w:pStyle w:val="Normal"/>
        <w:ind w:end="720"/>
        <w:jc w:val="both"/>
        <w:rPr/>
      </w:pPr>
      <w:r>
        <w:rPr/>
        <w:tab/>
        <w:t>(a)</w:t>
        <w:tab/>
      </w:r>
      <w:r>
        <w:rPr>
          <w:i/>
        </w:rPr>
        <w:t>Professional Services</w:t>
      </w:r>
    </w:p>
    <w:p>
      <w:pPr>
        <w:pStyle w:val="Normal"/>
        <w:ind w:hanging="1440" w:start="1440" w:end="720"/>
        <w:jc w:val="both"/>
        <w:rPr/>
      </w:pPr>
      <w:r>
        <w:rPr/>
        <w:tab/>
        <w:t>The Firm shall bill ENA for professional services at the hourly rates set forth on Attachment “B” hereto and in accordance with the terms and conditions of this Engagement Agreement and Attachment “A” hereto.  At ENA’s request, the Firm will promptly inform the Responsible Attorney(s) of its estimate of the amount (fees and expenses) to be likely charged to work on a particular project on which the Firm is being asked to function.</w:t>
      </w:r>
    </w:p>
    <w:p>
      <w:pPr>
        <w:pStyle w:val="Normal"/>
        <w:widowControl w:val="false"/>
        <w:ind w:end="720"/>
        <w:jc w:val="both"/>
        <w:rPr/>
      </w:pPr>
      <w:r>
        <w:rPr/>
        <w:tab/>
      </w:r>
    </w:p>
    <w:p>
      <w:pPr>
        <w:pStyle w:val="Normal"/>
        <w:widowControl w:val="false"/>
        <w:ind w:end="720"/>
        <w:jc w:val="both"/>
        <w:rPr/>
      </w:pPr>
      <w:r>
        <w:rPr/>
        <w:tab/>
        <w:t>(b)</w:t>
        <w:tab/>
      </w:r>
      <w:r>
        <w:rPr>
          <w:i/>
        </w:rPr>
        <w:t>Expenses</w:t>
      </w:r>
    </w:p>
    <w:p>
      <w:pPr>
        <w:pStyle w:val="Normal"/>
        <w:widowControl w:val="false"/>
        <w:ind w:hanging="1440" w:start="1440" w:end="720"/>
        <w:jc w:val="both"/>
        <w:rPr/>
      </w:pPr>
      <w:r>
        <w:rPr/>
        <w:tab/>
        <w:t>Expenses shall be reimbursed in accordance with the provisions of Attachment “A” hereto.</w:t>
      </w:r>
    </w:p>
    <w:p>
      <w:pPr>
        <w:pStyle w:val="Normal"/>
        <w:jc w:val="both"/>
        <w:rPr/>
      </w:pPr>
      <w:r>
        <w:rPr/>
      </w:r>
    </w:p>
    <w:p>
      <w:pPr>
        <w:pStyle w:val="Normal"/>
        <w:jc w:val="both"/>
        <w:rPr/>
      </w:pPr>
      <w:r>
        <w:rPr/>
        <w:tab/>
      </w:r>
      <w:r>
        <w:rPr/>
        <w:fldChar w:fldCharType="begin"/>
      </w:r>
      <w:r>
        <w:rPr/>
        <w:instrText xml:space="preserve"> SEQ AutoNr \* ARABIC </w:instrText>
      </w:r>
      <w:r>
        <w:rPr/>
        <w:fldChar w:fldCharType="separate"/>
      </w:r>
      <w:r>
        <w:rPr/>
        <w:t>3</w:t>
      </w:r>
      <w:r>
        <w:rPr/>
        <w:fldChar w:fldCharType="end"/>
      </w:r>
      <w:r>
        <w:rPr/>
        <w:tab/>
      </w:r>
      <w:r>
        <w:rPr>
          <w:u w:val="single"/>
        </w:rPr>
        <w:t>Staffing</w:t>
      </w:r>
      <w:r>
        <w:rPr/>
        <w:t>.  The attorneys within the Firm who will provide services in connection with this engagement and their hourly rates are set forth on Attachment “B” hereto.</w:t>
      </w:r>
    </w:p>
    <w:p>
      <w:pPr>
        <w:pStyle w:val="Normal"/>
        <w:jc w:val="both"/>
        <w:rPr/>
      </w:pPr>
      <w:r>
        <w:rPr/>
      </w:r>
    </w:p>
    <w:p>
      <w:pPr>
        <w:pStyle w:val="Normal"/>
        <w:ind w:firstLine="720" w:end="0"/>
        <w:jc w:val="both"/>
        <w:rPr/>
      </w:pPr>
      <w:r>
        <w:rPr/>
        <w:t>The Responsible Attorney for the engagement is Sara Shackleton, Senior Counsel, Enron North America Corp.  For purposes of the Engagement Agreement, Responsible Attorney shall also include Mr. Mark E. Haedicke, Managing Director and General Counsel, Enron North America Corp.</w:t>
      </w:r>
    </w:p>
    <w:p>
      <w:pPr>
        <w:pStyle w:val="Normal"/>
        <w:jc w:val="both"/>
        <w:rPr/>
      </w:pPr>
      <w:r>
        <w:rPr/>
      </w:r>
    </w:p>
    <w:p>
      <w:pPr>
        <w:pStyle w:val="Normal"/>
        <w:ind w:firstLine="720" w:end="0"/>
        <w:jc w:val="both"/>
        <w:rPr/>
      </w:pPr>
      <w:r>
        <w:rPr/>
        <w:t>4.</w:t>
        <w:tab/>
      </w:r>
      <w:r>
        <w:rPr>
          <w:u w:val="single"/>
        </w:rPr>
        <w:t>Communications</w:t>
      </w:r>
      <w:r>
        <w:rPr/>
        <w:t>.  Unless otherwise specifically authorized by the Responsible Attorney(s), all communications between the Firm and ENA shall be between the designated attorneys and the Responsible Attorney(s).</w:t>
      </w:r>
    </w:p>
    <w:p>
      <w:pPr>
        <w:pStyle w:val="Normal"/>
        <w:jc w:val="both"/>
        <w:rPr/>
      </w:pPr>
      <w:r>
        <w:rPr/>
      </w:r>
    </w:p>
    <w:p>
      <w:pPr>
        <w:pStyle w:val="Normal"/>
        <w:jc w:val="both"/>
        <w:rPr/>
      </w:pPr>
      <w:r>
        <w:rPr/>
        <w:tab/>
        <w:t>5.</w:t>
        <w:tab/>
      </w:r>
      <w:r>
        <w:rPr>
          <w:u w:val="single"/>
        </w:rPr>
        <w:t>Billing</w:t>
      </w:r>
      <w:r>
        <w:rPr/>
        <w:t>.  The Firm shall provide ENA with a monthly statement of charges incurred in accordance with this Engagement Agreement for the prior month’s services and expenses on or before the last day of the next succeeding month.  The statement shall be sent to Sara Shackleton, Senior Counsel, Enron North America Corp., 1400 Smith St., Houston, Texas  77002.  The statement shall reflect all accounting codes (if any) requested by the Responsible Attorney(s).  Payment for charges properly billed in accordance with this Engagement Agreement will be paid promptly after the statement is reviewed and approved by the Responsible Attorney(s).  Services and expenses for the project will be shown separately from the charges for other work performed by the Firm on behalf of ENA or its affiliates.</w:t>
      </w:r>
    </w:p>
    <w:p>
      <w:pPr>
        <w:pStyle w:val="Normal"/>
        <w:jc w:val="both"/>
        <w:rPr/>
      </w:pPr>
      <w:r>
        <w:rPr/>
      </w:r>
    </w:p>
    <w:p>
      <w:pPr>
        <w:pStyle w:val="Normal"/>
        <w:keepNext w:val="true"/>
        <w:keepLines/>
        <w:jc w:val="both"/>
        <w:rPr/>
      </w:pPr>
      <w:r>
        <w:rPr/>
        <w:tab/>
        <w:t>For each separate task performed in connection with the project the statement shall show:</w:t>
      </w:r>
    </w:p>
    <w:p>
      <w:pPr>
        <w:pStyle w:val="Normal"/>
        <w:keepNext w:val="true"/>
        <w:keepLines/>
        <w:jc w:val="both"/>
        <w:rPr/>
      </w:pPr>
      <w:r>
        <w:rPr/>
      </w:r>
    </w:p>
    <w:p>
      <w:pPr>
        <w:pStyle w:val="Normal"/>
        <w:keepNext w:val="true"/>
        <w:keepLines/>
        <w:jc w:val="both"/>
        <w:rPr/>
      </w:pPr>
      <w:r>
        <w:rPr/>
        <w:tab/>
        <w:tab/>
        <w:t>(i)</w:t>
        <w:tab/>
        <w:t>a description of the task performed;</w:t>
      </w:r>
    </w:p>
    <w:p>
      <w:pPr>
        <w:pStyle w:val="Normal"/>
        <w:keepNext w:val="true"/>
        <w:keepLines/>
        <w:jc w:val="both"/>
        <w:rPr/>
      </w:pPr>
      <w:r>
        <w:rPr/>
        <w:tab/>
        <w:tab/>
        <w:t>(ii)</w:t>
        <w:tab/>
        <w:t>the designated attorney performing the task;</w:t>
      </w:r>
    </w:p>
    <w:p>
      <w:pPr>
        <w:pStyle w:val="Normal"/>
        <w:keepNext w:val="true"/>
        <w:keepLines/>
        <w:jc w:val="both"/>
        <w:rPr/>
      </w:pPr>
      <w:r>
        <w:rPr/>
        <w:tab/>
        <w:tab/>
        <w:t>(iii)</w:t>
        <w:tab/>
        <w:t>the time spent on the task;</w:t>
      </w:r>
    </w:p>
    <w:p>
      <w:pPr>
        <w:pStyle w:val="Normal"/>
        <w:jc w:val="both"/>
        <w:rPr/>
      </w:pPr>
      <w:r>
        <w:rPr/>
        <w:tab/>
        <w:tab/>
        <w:t>(iv)</w:t>
        <w:tab/>
        <w:t>the date on which such task was performed; and</w:t>
      </w:r>
    </w:p>
    <w:p>
      <w:pPr>
        <w:pStyle w:val="Normal"/>
        <w:jc w:val="both"/>
        <w:rPr/>
      </w:pPr>
      <w:r>
        <w:rPr/>
        <w:tab/>
        <w:tab/>
        <w:t>(v)</w:t>
        <w:tab/>
        <w:t>the total charge for the task.</w:t>
      </w:r>
    </w:p>
    <w:p>
      <w:pPr>
        <w:pStyle w:val="Normal"/>
        <w:jc w:val="both"/>
        <w:rPr/>
      </w:pPr>
      <w:r>
        <w:rPr/>
      </w:r>
    </w:p>
    <w:p>
      <w:pPr>
        <w:pStyle w:val="Normal"/>
        <w:ind w:firstLine="720" w:end="0"/>
        <w:jc w:val="both"/>
        <w:rPr/>
      </w:pPr>
      <w:r>
        <w:rPr/>
        <w:t>The statement will also show the billing rate for each designated attorney providing services for which payment is sought.</w:t>
      </w:r>
    </w:p>
    <w:p>
      <w:pPr>
        <w:pStyle w:val="Normal"/>
        <w:jc w:val="both"/>
        <w:rPr/>
      </w:pPr>
      <w:r>
        <w:rPr/>
      </w:r>
    </w:p>
    <w:p>
      <w:pPr>
        <w:pStyle w:val="Normal"/>
        <w:jc w:val="both"/>
        <w:rPr/>
      </w:pPr>
      <w:r>
        <w:rPr/>
        <w:tab/>
        <w:t>Expenses shall be set forth in each statement with reasonable specificity.  The number of copies and fax transmissions shall be shown as well as the total of such expenses incurred.  Meals, airline tickets, lodging, and transportation shall be separately set forth for each such expense incurred.  Computer legal research shall be separately stated along with the subject matter of the research.  The amount of expenses billed and the manner of presentation on the statement shall be as set forth on Attachment “A” hereto.</w:t>
      </w:r>
    </w:p>
    <w:p>
      <w:pPr>
        <w:pStyle w:val="Normal"/>
        <w:jc w:val="both"/>
        <w:rPr/>
      </w:pPr>
      <w:r>
        <w:rPr/>
      </w:r>
    </w:p>
    <w:p>
      <w:pPr>
        <w:pStyle w:val="Normal"/>
        <w:jc w:val="both"/>
        <w:rPr/>
      </w:pPr>
      <w:r>
        <w:rPr/>
        <w:tab/>
        <w:t>Each statement shall include a summary sheet for each project showing total fees and expenses for the project, including a breakdown by account codes and project references provided by the Responsible Attorney(s).</w:t>
      </w:r>
    </w:p>
    <w:p>
      <w:pPr>
        <w:pStyle w:val="Normal"/>
        <w:jc w:val="both"/>
        <w:rPr/>
      </w:pPr>
      <w:r>
        <w:rPr/>
      </w:r>
    </w:p>
    <w:p>
      <w:pPr>
        <w:pStyle w:val="Normal"/>
        <w:ind w:firstLine="720" w:end="0"/>
        <w:jc w:val="both"/>
        <w:rPr/>
      </w:pPr>
      <w:r>
        <w:rPr/>
        <w:t xml:space="preserve">6.  </w:t>
      </w:r>
      <w:r>
        <w:rPr>
          <w:u w:val="single"/>
        </w:rPr>
        <w:t>Incorporation of Policy</w:t>
      </w:r>
      <w:r>
        <w:rPr/>
        <w:t>.  This Engagement Agreement incorporates by reference the terms and conditions of Attachments “A” and “B” hereto.</w:t>
      </w:r>
    </w:p>
    <w:p>
      <w:pPr>
        <w:pStyle w:val="Normal"/>
        <w:ind w:start="720" w:end="0"/>
        <w:jc w:val="both"/>
        <w:rPr/>
      </w:pPr>
      <w:r>
        <w:rPr/>
      </w:r>
    </w:p>
    <w:p>
      <w:pPr>
        <w:pStyle w:val="Normal"/>
        <w:ind w:firstLine="720" w:end="0"/>
        <w:jc w:val="both"/>
        <w:rPr/>
      </w:pPr>
      <w:r>
        <w:rPr/>
        <w:t>This letter, when executed and returned as indicated below, confirms the Firm’s engagement by ENA on the terms expressed below and in Attachments “A” and “B” (“Agreement”).  Attachments “A” and “B” are made parts of this Agreement by reference.</w:t>
      </w:r>
    </w:p>
    <w:p>
      <w:pPr>
        <w:pStyle w:val="Normal"/>
        <w:ind w:start="720" w:end="0"/>
        <w:jc w:val="both"/>
        <w:rPr/>
      </w:pPr>
      <w:r>
        <w:rPr/>
      </w:r>
    </w:p>
    <w:p>
      <w:pPr>
        <w:pStyle w:val="Normal"/>
        <w:jc w:val="both"/>
        <w:rPr/>
      </w:pPr>
      <w:r>
        <w:rPr/>
        <w:tab/>
        <w:t>Please execute this Engagement Agreement in the space provided below and return an original for our files.</w:t>
      </w:r>
    </w:p>
    <w:p>
      <w:pPr>
        <w:pStyle w:val="Normal"/>
        <w:jc w:val="both"/>
        <w:rPr/>
      </w:pPr>
      <w:r>
        <w:rPr/>
      </w:r>
    </w:p>
    <w:p>
      <w:pPr>
        <w:pStyle w:val="Normal"/>
        <w:jc w:val="both"/>
        <w:rPr/>
      </w:pPr>
      <w:r>
        <w:rPr/>
        <w:tab/>
        <w:tab/>
        <w:tab/>
        <w:tab/>
        <w:tab/>
        <w:tab/>
        <w:t>Sincerely,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Sara Shackleton</w:t>
      </w:r>
    </w:p>
    <w:p>
      <w:pPr>
        <w:pStyle w:val="Normal"/>
        <w:jc w:val="both"/>
        <w:rPr/>
      </w:pPr>
      <w:r>
        <w:rPr/>
        <w:tab/>
        <w:tab/>
        <w:tab/>
        <w:tab/>
        <w:tab/>
        <w:tab/>
        <w:t>Senior Counsel</w:t>
        <w:tab/>
        <w:tab/>
        <w:tab/>
        <w:tab/>
        <w:tab/>
      </w:r>
    </w:p>
    <w:p>
      <w:pPr>
        <w:pStyle w:val="Normal"/>
        <w:jc w:val="both"/>
        <w:rPr/>
      </w:pPr>
      <w:r>
        <w:rPr/>
      </w:r>
    </w:p>
    <w:p>
      <w:pPr>
        <w:pStyle w:val="Normal"/>
        <w:jc w:val="both"/>
        <w:rPr/>
      </w:pPr>
      <w:r>
        <w:rPr/>
      </w:r>
    </w:p>
    <w:p>
      <w:pPr>
        <w:pStyle w:val="Normal"/>
        <w:jc w:val="both"/>
        <w:rPr>
          <w:b/>
        </w:rPr>
      </w:pPr>
      <w:r>
        <w:rPr>
          <w:b/>
        </w:rPr>
        <w:t>ACCEPTED AND AGREED TO this</w:t>
      </w:r>
    </w:p>
    <w:p>
      <w:pPr>
        <w:pStyle w:val="Normal"/>
        <w:jc w:val="both"/>
        <w:rPr/>
      </w:pPr>
      <w:r>
        <w:rPr>
          <w:b/>
        </w:rPr>
        <w:t xml:space="preserve">______ day of ______________, </w:t>
      </w:r>
      <w:r>
        <w:rPr>
          <w:b/>
        </w:rPr>
        <w:fldChar w:fldCharType="begin"/>
      </w:r>
      <w:r>
        <w:rPr>
          <w:b/>
        </w:rPr>
        <w:instrText xml:space="preserve"> DATE \@"yyyy" </w:instrText>
      </w:r>
      <w:r>
        <w:rPr>
          <w:b/>
        </w:rPr>
        <w:fldChar w:fldCharType="separate"/>
      </w:r>
      <w:r>
        <w:rPr>
          <w:b/>
        </w:rPr>
        <w:t>2025</w:t>
      </w:r>
      <w:r>
        <w:rPr>
          <w:b/>
        </w:rPr>
        <w:fldChar w:fldCharType="end"/>
      </w:r>
      <w:r>
        <w:rPr/>
        <w:t>.</w:t>
      </w:r>
    </w:p>
    <w:p>
      <w:pPr>
        <w:pStyle w:val="Normal"/>
        <w:jc w:val="both"/>
        <w:rPr/>
      </w:pPr>
      <w:r>
        <w:rPr/>
      </w:r>
    </w:p>
    <w:p>
      <w:pPr>
        <w:pStyle w:val="Normal"/>
        <w:jc w:val="both"/>
        <w:rPr>
          <w:b/>
        </w:rPr>
      </w:pPr>
      <w:r>
        <w:rPr>
          <w:b/>
        </w:rPr>
      </w:r>
    </w:p>
    <w:p>
      <w:pPr>
        <w:pStyle w:val="Heading5"/>
        <w:ind w:hanging="0" w:start="0"/>
        <w:rPr/>
      </w:pPr>
      <w:r>
        <w:rPr/>
        <w:t>MODRALL, SPERLING, ROEHL, HARRIS &amp; SISK, P.A.</w:t>
      </w:r>
    </w:p>
    <w:p>
      <w:pPr>
        <w:pStyle w:val="Normal"/>
        <w:jc w:val="both"/>
        <w:rPr/>
      </w:pPr>
      <w:r>
        <w:rPr/>
      </w:r>
    </w:p>
    <w:p>
      <w:pPr>
        <w:pStyle w:val="Normal"/>
        <w:jc w:val="both"/>
        <w:rPr/>
      </w:pPr>
      <w:r>
        <w:rPr/>
      </w:r>
    </w:p>
    <w:p>
      <w:pPr>
        <w:pStyle w:val="Normal"/>
        <w:jc w:val="both"/>
        <w:rPr/>
      </w:pPr>
      <w:r>
        <w:rPr/>
      </w:r>
    </w:p>
    <w:p>
      <w:pPr>
        <w:pStyle w:val="Normal"/>
        <w:jc w:val="both"/>
        <w:rPr/>
      </w:pPr>
      <w:r>
        <w:rPr/>
        <w:t>By: __________________________________</w:t>
      </w:r>
    </w:p>
    <w:p>
      <w:pPr>
        <w:pStyle w:val="Normal"/>
        <w:jc w:val="both"/>
        <w:rPr/>
      </w:pPr>
      <w:r>
        <w:rPr/>
        <w:tab/>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994" w:bottom="1440"/>
          <w:pgNumType w:start="1" w:fmt="decimal"/>
          <w:formProt w:val="false"/>
          <w:titlePg/>
          <w:textDirection w:val="lrTb"/>
          <w:docGrid w:type="default" w:linePitch="360" w:charSpace="0"/>
        </w:sectPr>
        <w:pStyle w:val="Normal"/>
        <w:jc w:val="both"/>
        <w:rPr/>
      </w:pPr>
      <w:r>
        <w:rPr/>
      </w:r>
    </w:p>
    <w:p>
      <w:pPr>
        <w:pStyle w:val="Normal"/>
        <w:jc w:val="center"/>
        <w:rPr>
          <w:b/>
          <w:u w:val="single"/>
        </w:rPr>
      </w:pPr>
      <w:r>
        <w:rPr>
          <w:b/>
          <w:u w:val="single"/>
        </w:rPr>
        <w:t>ATTACHMENT “A”</w:t>
      </w:r>
    </w:p>
    <w:p>
      <w:pPr>
        <w:pStyle w:val="Normal"/>
        <w:jc w:val="both"/>
        <w:rPr>
          <w:b/>
          <w:u w:val="single"/>
        </w:rPr>
      </w:pPr>
      <w:r>
        <w:rPr>
          <w:b/>
          <w:u w:val="single"/>
        </w:rPr>
      </w:r>
    </w:p>
    <w:p>
      <w:pPr>
        <w:pStyle w:val="Normal"/>
        <w:jc w:val="both"/>
        <w:rPr/>
      </w:pPr>
      <w:r>
        <w:rPr/>
        <w:t>1.</w:t>
        <w:tab/>
      </w:r>
      <w:r>
        <w:rPr>
          <w:u w:val="single"/>
        </w:rPr>
        <w:t>Authorized Use of Outside Counsel</w:t>
      </w:r>
      <w:r>
        <w:rPr/>
        <w:t>.  Due to internal controls developed with respect to the form and type of transactions ENA may engage in and due to the requirements of existing business and contractual arrangements, centralized control over the provision of legal services is essential to ENA and its subsidiaries.  As a consequence, the ENA Legal Department manages the outside counsel budget and all legal work performed on behalf of ENA and its wholly owned subsidiaries.  The Legal Department is the ENA unit authorized to engage, and arrange payment for, outside counsel services.  Communications between outside counsel and an ENA entity must be between outside counsel and the Legal Department, unless otherwise authorized by the Responsible Attorney(s).</w:t>
      </w:r>
    </w:p>
    <w:p>
      <w:pPr>
        <w:pStyle w:val="Normal"/>
        <w:jc w:val="both"/>
        <w:rPr/>
      </w:pPr>
      <w:r>
        <w:rPr/>
      </w:r>
    </w:p>
    <w:p>
      <w:pPr>
        <w:pStyle w:val="Normal"/>
        <w:jc w:val="both"/>
        <w:rPr/>
      </w:pPr>
      <w:r>
        <w:rPr/>
        <w:t>2.</w:t>
        <w:tab/>
      </w:r>
      <w:r>
        <w:rPr>
          <w:u w:val="single"/>
        </w:rPr>
        <w:t>Billing</w:t>
      </w:r>
      <w:r>
        <w:rPr/>
        <w:t>.  Professional services provided to ENA and expenses incurred in connection with such services shall be paid to the extent they conform to the following:</w:t>
      </w:r>
    </w:p>
    <w:p>
      <w:pPr>
        <w:pStyle w:val="Normal"/>
        <w:jc w:val="both"/>
        <w:rPr/>
      </w:pPr>
      <w:r>
        <w:rPr/>
      </w:r>
    </w:p>
    <w:p>
      <w:pPr>
        <w:pStyle w:val="Normal"/>
        <w:jc w:val="both"/>
        <w:rPr/>
      </w:pPr>
      <w:r>
        <w:rPr/>
        <w:tab/>
        <w:t>A.</w:t>
        <w:tab/>
      </w:r>
      <w:r>
        <w:rPr>
          <w:i/>
        </w:rPr>
        <w:t>Professional Services</w:t>
      </w:r>
    </w:p>
    <w:p>
      <w:pPr>
        <w:pStyle w:val="Normal"/>
        <w:jc w:val="both"/>
        <w:rPr>
          <w:i/>
          <w:i/>
        </w:rPr>
      </w:pPr>
      <w:r>
        <w:rPr>
          <w:i/>
        </w:rPr>
      </w:r>
    </w:p>
    <w:p>
      <w:pPr>
        <w:pStyle w:val="Normal"/>
        <w:ind w:hanging="720" w:start="2160" w:end="0"/>
        <w:jc w:val="both"/>
        <w:rPr/>
      </w:pPr>
      <w:r>
        <w:rPr/>
        <w:t>1.</w:t>
        <w:tab/>
      </w:r>
      <w:r>
        <w:rPr>
          <w:u w:val="single"/>
        </w:rPr>
        <w:t>Persons whose time may be billed</w:t>
      </w:r>
      <w:r>
        <w:rPr/>
        <w:t>.  The following persons may bill for professional services:</w:t>
      </w:r>
    </w:p>
    <w:p>
      <w:pPr>
        <w:pStyle w:val="Normal"/>
        <w:ind w:hanging="720" w:start="2160" w:end="0"/>
        <w:jc w:val="both"/>
        <w:rPr/>
      </w:pPr>
      <w:r>
        <w:rPr/>
      </w:r>
    </w:p>
    <w:p>
      <w:pPr>
        <w:pStyle w:val="Normal"/>
        <w:ind w:hanging="720" w:start="2880" w:end="0"/>
        <w:jc w:val="both"/>
        <w:rPr/>
      </w:pPr>
      <w:r>
        <w:rPr/>
        <w:t>(a)</w:t>
        <w:tab/>
        <w:t>attorneys designated in the Engagement Agreement or otherwise specifically authorized by the Responsible Attorney(s) designated in the Engagement Agreement.</w:t>
      </w:r>
    </w:p>
    <w:p>
      <w:pPr>
        <w:pStyle w:val="Normal"/>
        <w:ind w:hanging="720" w:start="2880" w:end="0"/>
        <w:jc w:val="both"/>
        <w:rPr/>
      </w:pPr>
      <w:r>
        <w:rPr/>
      </w:r>
    </w:p>
    <w:p>
      <w:pPr>
        <w:pStyle w:val="Normal"/>
        <w:ind w:hanging="720" w:start="2880" w:end="0"/>
        <w:jc w:val="both"/>
        <w:rPr/>
      </w:pPr>
      <w:r>
        <w:rPr/>
        <w:t>(b)</w:t>
        <w:tab/>
        <w:t>paralegals or legal assistants of the Firm (provided that the billing rates are disclosed in advance to the Responsible Attorney(s)).</w:t>
      </w:r>
    </w:p>
    <w:p>
      <w:pPr>
        <w:pStyle w:val="Normal"/>
        <w:ind w:hanging="720" w:start="2880" w:end="0"/>
        <w:jc w:val="both"/>
        <w:rPr/>
      </w:pPr>
      <w:r>
        <w:rPr/>
      </w:r>
    </w:p>
    <w:p>
      <w:pPr>
        <w:pStyle w:val="Normal"/>
        <w:ind w:start="2160" w:end="0"/>
        <w:jc w:val="both"/>
        <w:rPr/>
      </w:pPr>
      <w:r>
        <w:rPr/>
        <w:t>The following persons shall not bill time for professional services (nor shall the costs associated with such persons be reimbursable as an "Expense"):</w:t>
      </w:r>
    </w:p>
    <w:p>
      <w:pPr>
        <w:pStyle w:val="Normal"/>
        <w:ind w:start="2160" w:end="0"/>
        <w:jc w:val="both"/>
        <w:rPr/>
      </w:pPr>
      <w:r>
        <w:rPr/>
      </w:r>
    </w:p>
    <w:p>
      <w:pPr>
        <w:pStyle w:val="Normal"/>
        <w:ind w:hanging="720" w:start="2880" w:end="0"/>
        <w:jc w:val="both"/>
        <w:rPr/>
      </w:pPr>
      <w:r>
        <w:rPr/>
        <w:t>(a)</w:t>
        <w:tab/>
        <w:t>secretaries or typists (except as provided in the section regarding "overtime" below).</w:t>
      </w:r>
    </w:p>
    <w:p>
      <w:pPr>
        <w:pStyle w:val="Normal"/>
        <w:ind w:hanging="720" w:start="2880" w:end="0"/>
        <w:jc w:val="both"/>
        <w:rPr/>
      </w:pPr>
      <w:r>
        <w:rPr/>
      </w:r>
    </w:p>
    <w:p>
      <w:pPr>
        <w:pStyle w:val="Normal"/>
        <w:ind w:hanging="720" w:start="2880" w:end="0"/>
        <w:jc w:val="both"/>
        <w:rPr/>
      </w:pPr>
      <w:r>
        <w:rPr/>
        <w:t>(b)</w:t>
        <w:tab/>
        <w:t>runners, file clerks, accounts, copy or fax personnel or similar support personnel.</w:t>
      </w:r>
    </w:p>
    <w:p>
      <w:pPr>
        <w:pStyle w:val="Normal"/>
        <w:ind w:hanging="720" w:start="2880" w:end="0"/>
        <w:jc w:val="both"/>
        <w:rPr/>
      </w:pPr>
      <w:r>
        <w:rPr/>
      </w:r>
    </w:p>
    <w:p>
      <w:pPr>
        <w:pStyle w:val="Normal"/>
        <w:ind w:hanging="720" w:start="2160" w:end="0"/>
        <w:jc w:val="both"/>
        <w:rPr/>
      </w:pPr>
      <w:r>
        <w:rPr/>
        <w:t>2.</w:t>
        <w:tab/>
      </w:r>
      <w:r>
        <w:rPr>
          <w:u w:val="single"/>
        </w:rPr>
        <w:t>Time which shall not be billed</w:t>
      </w:r>
      <w:r>
        <w:rPr/>
        <w:t>.  Persons authorized to bill for professional services shall not bill for time spent in the following activities:</w:t>
      </w:r>
    </w:p>
    <w:p>
      <w:pPr>
        <w:pStyle w:val="Normal"/>
        <w:ind w:hanging="720" w:start="2160" w:end="0"/>
        <w:jc w:val="both"/>
        <w:rPr/>
      </w:pPr>
      <w:r>
        <w:rPr/>
      </w:r>
    </w:p>
    <w:p>
      <w:pPr>
        <w:pStyle w:val="Normal"/>
        <w:ind w:hanging="720" w:start="2880" w:end="0"/>
        <w:jc w:val="both"/>
        <w:rPr/>
      </w:pPr>
      <w:r>
        <w:rPr/>
        <w:t>(a)</w:t>
        <w:tab/>
        <w:t>organizing or preparing the Firm's files,</w:t>
      </w:r>
    </w:p>
    <w:p>
      <w:pPr>
        <w:pStyle w:val="Normal"/>
        <w:ind w:hanging="720" w:start="2880" w:end="0"/>
        <w:jc w:val="both"/>
        <w:rPr/>
      </w:pPr>
      <w:r>
        <w:rPr/>
      </w:r>
    </w:p>
    <w:p>
      <w:pPr>
        <w:pStyle w:val="Normal"/>
        <w:ind w:hanging="720" w:start="2880" w:end="0"/>
        <w:jc w:val="both"/>
        <w:rPr/>
      </w:pPr>
      <w:r>
        <w:rPr/>
        <w:t>(b)</w:t>
        <w:tab/>
        <w:t>preparing, reviewing, discussing, or adjusting billings,</w:t>
      </w:r>
    </w:p>
    <w:p>
      <w:pPr>
        <w:pStyle w:val="Normal"/>
        <w:ind w:hanging="720" w:start="2880" w:end="0"/>
        <w:jc w:val="both"/>
        <w:rPr/>
      </w:pPr>
      <w:r>
        <w:rPr/>
      </w:r>
    </w:p>
    <w:p>
      <w:pPr>
        <w:pStyle w:val="Normal"/>
        <w:ind w:hanging="720" w:start="2880" w:end="0"/>
        <w:jc w:val="both"/>
        <w:rPr/>
      </w:pPr>
      <w:r>
        <w:rPr/>
        <w:t>(c)</w:t>
        <w:tab/>
        <w:t>travel time, unless (and only to the extent that) such travel time was used to do authorized work on the project,</w:t>
      </w:r>
    </w:p>
    <w:p>
      <w:pPr>
        <w:pStyle w:val="Normal"/>
        <w:ind w:hanging="720" w:start="2880" w:end="0"/>
        <w:jc w:val="both"/>
        <w:rPr/>
      </w:pPr>
      <w:r>
        <w:rPr/>
      </w:r>
    </w:p>
    <w:p>
      <w:pPr>
        <w:pStyle w:val="Normal"/>
        <w:ind w:hanging="720" w:start="2880" w:end="0"/>
        <w:jc w:val="both"/>
        <w:rPr/>
      </w:pPr>
      <w:r>
        <w:rPr/>
        <w:t>(d)</w:t>
        <w:tab/>
        <w:t>time spent checking or clearing real or potential conflicts of interest,</w:t>
      </w:r>
    </w:p>
    <w:p>
      <w:pPr>
        <w:pStyle w:val="Normal"/>
        <w:ind w:hanging="720" w:start="2880" w:end="0"/>
        <w:jc w:val="both"/>
        <w:rPr/>
      </w:pPr>
      <w:r>
        <w:rPr/>
      </w:r>
    </w:p>
    <w:p>
      <w:pPr>
        <w:pStyle w:val="Normal"/>
        <w:ind w:hanging="720" w:start="2880" w:end="0"/>
        <w:jc w:val="both"/>
        <w:rPr/>
      </w:pPr>
      <w:r>
        <w:rPr/>
        <w:t>(e)</w:t>
        <w:tab/>
        <w:t>time spent correcting work product, and</w:t>
      </w:r>
    </w:p>
    <w:p>
      <w:pPr>
        <w:pStyle w:val="Normal"/>
        <w:ind w:hanging="720" w:start="2880" w:end="0"/>
        <w:jc w:val="both"/>
        <w:rPr/>
      </w:pPr>
      <w:r>
        <w:rPr/>
      </w:r>
    </w:p>
    <w:p>
      <w:pPr>
        <w:pStyle w:val="Normal"/>
        <w:ind w:hanging="720" w:start="2880" w:end="0"/>
        <w:jc w:val="both"/>
        <w:rPr/>
      </w:pPr>
      <w:r>
        <w:rPr/>
        <w:t>(f)</w:t>
        <w:tab/>
        <w:t>other time not directly related to the project.</w:t>
      </w:r>
    </w:p>
    <w:p>
      <w:pPr>
        <w:pStyle w:val="Normal"/>
        <w:ind w:hanging="720" w:start="2880" w:end="0"/>
        <w:jc w:val="both"/>
        <w:rPr/>
      </w:pPr>
      <w:r>
        <w:rPr/>
      </w:r>
    </w:p>
    <w:p>
      <w:pPr>
        <w:pStyle w:val="Normal"/>
        <w:ind w:start="2160" w:end="0"/>
        <w:jc w:val="both"/>
        <w:rPr/>
      </w:pPr>
      <w:r>
        <w:rPr/>
        <w:t>In addition, the following guidelines shall be observed in calculating the time spent in rendering professional services (unless otherwise specifically authorized in advance by the Responsible Attorney(s)):</w:t>
      </w:r>
    </w:p>
    <w:p>
      <w:pPr>
        <w:pStyle w:val="Normal"/>
        <w:ind w:start="2160" w:end="0"/>
        <w:jc w:val="both"/>
        <w:rPr/>
      </w:pPr>
      <w:r>
        <w:rPr/>
      </w:r>
    </w:p>
    <w:p>
      <w:pPr>
        <w:pStyle w:val="Normal"/>
        <w:ind w:hanging="720" w:start="2880" w:end="0"/>
        <w:jc w:val="both"/>
        <w:rPr/>
      </w:pPr>
      <w:r>
        <w:rPr/>
        <w:t>(a)</w:t>
        <w:tab/>
        <w:t>The Firm should not bill for time spent by attorneys familiarizing themselves with unfamiliar areas of the law, unless specifically authorized by the Responsible Attorney(s).</w:t>
      </w:r>
    </w:p>
    <w:p>
      <w:pPr>
        <w:pStyle w:val="Normal"/>
        <w:ind w:hanging="720" w:start="2880" w:end="0"/>
        <w:jc w:val="both"/>
        <w:rPr/>
      </w:pPr>
      <w:r>
        <w:rPr/>
      </w:r>
    </w:p>
    <w:p>
      <w:pPr>
        <w:pStyle w:val="Normal"/>
        <w:ind w:hanging="720" w:start="2880" w:end="0"/>
        <w:jc w:val="both"/>
        <w:rPr/>
      </w:pPr>
      <w:r>
        <w:rPr/>
        <w:t>(b)</w:t>
        <w:tab/>
        <w:t>The Firm should not bill for multiple internal reviews or proofreading of a professional's work product.</w:t>
      </w:r>
    </w:p>
    <w:p>
      <w:pPr>
        <w:pStyle w:val="Normal"/>
        <w:ind w:hanging="720" w:start="2880" w:end="0"/>
        <w:jc w:val="both"/>
        <w:rPr/>
      </w:pPr>
      <w:r>
        <w:rPr/>
      </w:r>
    </w:p>
    <w:p>
      <w:pPr>
        <w:pStyle w:val="Normal"/>
        <w:ind w:hanging="720" w:start="2880" w:end="0"/>
        <w:jc w:val="both"/>
        <w:rPr/>
      </w:pPr>
      <w:r>
        <w:rPr/>
        <w:t>(c)</w:t>
        <w:tab/>
        <w:t>The Firm should not bill for excessive internal conferences or for excessive attendance at such internal conferences.</w:t>
      </w:r>
    </w:p>
    <w:p>
      <w:pPr>
        <w:pStyle w:val="Normal"/>
        <w:ind w:hanging="720" w:start="2880" w:end="0"/>
        <w:jc w:val="both"/>
        <w:rPr/>
      </w:pPr>
      <w:r>
        <w:rPr/>
      </w:r>
    </w:p>
    <w:p>
      <w:pPr>
        <w:pStyle w:val="Normal"/>
        <w:ind w:hanging="720" w:start="2880" w:end="0"/>
        <w:jc w:val="both"/>
        <w:rPr/>
      </w:pPr>
      <w:r>
        <w:rPr/>
        <w:t>(d)</w:t>
        <w:tab/>
        <w:t>The Firm should not bill for time spent getting new professionals "up to speed" when there has been a change in the professionals working on the project.</w:t>
      </w:r>
    </w:p>
    <w:p>
      <w:pPr>
        <w:pStyle w:val="Normal"/>
        <w:ind w:hanging="720" w:start="2880" w:end="0"/>
        <w:jc w:val="both"/>
        <w:rPr/>
      </w:pPr>
      <w:r>
        <w:rPr/>
      </w:r>
    </w:p>
    <w:p>
      <w:pPr>
        <w:pStyle w:val="Normal"/>
        <w:ind w:start="2160" w:end="0"/>
        <w:jc w:val="both"/>
        <w:rPr/>
      </w:pPr>
      <w:r>
        <w:rPr/>
        <w:t>Finally, no premiums for professional services shall be included in billing statements.</w:t>
      </w:r>
    </w:p>
    <w:p>
      <w:pPr>
        <w:pStyle w:val="Normal"/>
        <w:ind w:start="2160" w:end="0"/>
        <w:jc w:val="both"/>
        <w:rPr/>
      </w:pPr>
      <w:r>
        <w:rPr/>
      </w:r>
    </w:p>
    <w:p>
      <w:pPr>
        <w:pStyle w:val="Normal"/>
        <w:keepNext w:val="true"/>
        <w:jc w:val="both"/>
        <w:rPr/>
      </w:pPr>
      <w:r>
        <w:rPr/>
        <w:tab/>
        <w:t>B.</w:t>
        <w:tab/>
      </w:r>
      <w:r>
        <w:rPr>
          <w:i/>
        </w:rPr>
        <w:t>Expenses</w:t>
      </w:r>
    </w:p>
    <w:p>
      <w:pPr>
        <w:pStyle w:val="Normal"/>
        <w:keepNext w:val="true"/>
        <w:jc w:val="both"/>
        <w:rPr>
          <w:i/>
          <w:i/>
        </w:rPr>
      </w:pPr>
      <w:r>
        <w:rPr>
          <w:i/>
        </w:rPr>
      </w:r>
    </w:p>
    <w:p>
      <w:pPr>
        <w:pStyle w:val="Normal"/>
        <w:keepNext w:val="true"/>
        <w:ind w:start="1440" w:end="0"/>
        <w:jc w:val="both"/>
        <w:rPr/>
      </w:pPr>
      <w:r>
        <w:rPr/>
        <w:t>The Legal Department will approve reimbursement of expenses which reflect the lower of the reasonable or actual out-of-pocket cost of the following expenses:</w:t>
      </w:r>
    </w:p>
    <w:p>
      <w:pPr>
        <w:pStyle w:val="Normal"/>
        <w:ind w:start="1440" w:end="0"/>
        <w:jc w:val="both"/>
        <w:rPr/>
      </w:pPr>
      <w:r>
        <w:rPr/>
      </w:r>
    </w:p>
    <w:p>
      <w:pPr>
        <w:pStyle w:val="Normal"/>
        <w:ind w:start="1440" w:end="0"/>
        <w:jc w:val="both"/>
        <w:rPr/>
      </w:pPr>
      <w:r>
        <w:rPr/>
        <w:t>1.</w:t>
        <w:tab/>
      </w:r>
      <w:r>
        <w:rPr>
          <w:u w:val="single"/>
        </w:rPr>
        <w:t>Photocopies</w:t>
      </w:r>
      <w:r>
        <w:rPr/>
        <w:t xml:space="preserve"> -- actual cost but not greater than $.10 per page.</w:t>
      </w:r>
    </w:p>
    <w:p>
      <w:pPr>
        <w:pStyle w:val="Normal"/>
        <w:ind w:start="1440" w:end="0"/>
        <w:jc w:val="both"/>
        <w:rPr/>
      </w:pPr>
      <w:r>
        <w:rPr/>
      </w:r>
    </w:p>
    <w:p>
      <w:pPr>
        <w:pStyle w:val="Normal"/>
        <w:ind w:hanging="720" w:start="2160" w:end="0"/>
        <w:jc w:val="both"/>
        <w:rPr/>
      </w:pPr>
      <w:r>
        <w:rPr/>
        <w:t>2.</w:t>
        <w:tab/>
      </w:r>
      <w:r>
        <w:rPr>
          <w:u w:val="single"/>
        </w:rPr>
        <w:t>Facsimile transmissions</w:t>
      </w:r>
      <w:r>
        <w:rPr/>
        <w:t xml:space="preserve"> -- actual cost but not greater than $.50 per page sent by the Firm.</w:t>
      </w:r>
    </w:p>
    <w:p>
      <w:pPr>
        <w:pStyle w:val="Normal"/>
        <w:ind w:hanging="720" w:start="2160" w:end="0"/>
        <w:jc w:val="both"/>
        <w:rPr/>
      </w:pPr>
      <w:r>
        <w:rPr/>
      </w:r>
    </w:p>
    <w:p>
      <w:pPr>
        <w:pStyle w:val="Normal"/>
        <w:ind w:hanging="720" w:start="2160" w:end="0"/>
        <w:jc w:val="both"/>
        <w:rPr/>
      </w:pPr>
      <w:r>
        <w:rPr/>
        <w:t>3.</w:t>
        <w:tab/>
      </w:r>
      <w:r>
        <w:rPr>
          <w:u w:val="single"/>
        </w:rPr>
        <w:t>Overtime</w:t>
      </w:r>
      <w:r>
        <w:rPr/>
        <w:t xml:space="preserve"> -- Overtime for nonprofessionals shall be minimized.</w:t>
      </w:r>
    </w:p>
    <w:p>
      <w:pPr>
        <w:pStyle w:val="Normal"/>
        <w:ind w:hanging="720" w:start="2160" w:end="0"/>
        <w:jc w:val="both"/>
        <w:rPr/>
      </w:pPr>
      <w:r>
        <w:rPr/>
      </w:r>
    </w:p>
    <w:p>
      <w:pPr>
        <w:pStyle w:val="Normal"/>
        <w:ind w:hanging="720" w:start="2160" w:end="0"/>
        <w:jc w:val="both"/>
        <w:rPr/>
      </w:pPr>
      <w:r>
        <w:rPr/>
        <w:t>4.</w:t>
        <w:tab/>
      </w:r>
      <w:r>
        <w:rPr>
          <w:u w:val="single"/>
        </w:rPr>
        <w:t>Computer Research</w:t>
      </w:r>
      <w:r>
        <w:rPr/>
        <w:t xml:space="preserve"> -- Computer research shall be performed and reimbursed only when such research is most cost-effective in the reasonable judgment of the Firm.</w:t>
      </w:r>
    </w:p>
    <w:p>
      <w:pPr>
        <w:pStyle w:val="Normal"/>
        <w:ind w:hanging="720" w:start="2160" w:end="0"/>
        <w:jc w:val="both"/>
        <w:rPr/>
      </w:pPr>
      <w:r>
        <w:rPr/>
      </w:r>
    </w:p>
    <w:p>
      <w:pPr>
        <w:pStyle w:val="Normal"/>
        <w:ind w:hanging="720" w:start="2160" w:end="0"/>
        <w:jc w:val="both"/>
        <w:rPr/>
      </w:pPr>
      <w:r>
        <w:rPr/>
        <w:t>5.</w:t>
        <w:tab/>
      </w:r>
      <w:r>
        <w:rPr>
          <w:u w:val="single"/>
        </w:rPr>
        <w:t>Travel Expenses</w:t>
      </w:r>
      <w:r>
        <w:rPr/>
        <w:t xml:space="preserve"> -- Travel must be approved in advance by the Responsible Attorney(s).</w:t>
      </w:r>
    </w:p>
    <w:p>
      <w:pPr>
        <w:pStyle w:val="Normal"/>
        <w:ind w:hanging="720" w:start="2160" w:end="0"/>
        <w:jc w:val="both"/>
        <w:rPr/>
      </w:pPr>
      <w:r>
        <w:rPr/>
      </w:r>
    </w:p>
    <w:p>
      <w:pPr>
        <w:pStyle w:val="Normal"/>
        <w:ind w:start="2160" w:end="0"/>
        <w:jc w:val="both"/>
        <w:rPr/>
      </w:pPr>
      <w:r>
        <w:rPr/>
        <w:t>(a)</w:t>
        <w:tab/>
        <w:t xml:space="preserve">Air travel - only coach fares will be reimbursed unless </w:t>
      </w:r>
    </w:p>
    <w:p>
      <w:pPr>
        <w:pStyle w:val="Normal"/>
        <w:ind w:start="2160" w:end="0"/>
        <w:jc w:val="both"/>
        <w:rPr/>
      </w:pPr>
      <w:r>
        <w:rPr/>
        <w:tab/>
        <w:t>otherwise approved by the Responsible Attorney(s);</w:t>
      </w:r>
    </w:p>
    <w:p>
      <w:pPr>
        <w:pStyle w:val="Normal"/>
        <w:ind w:start="2160" w:end="0"/>
        <w:jc w:val="both"/>
        <w:rPr/>
      </w:pPr>
      <w:r>
        <w:rPr/>
        <w:t>(b)</w:t>
        <w:tab/>
        <w:t>Reasonable lodging expenses;</w:t>
      </w:r>
    </w:p>
    <w:p>
      <w:pPr>
        <w:pStyle w:val="Normal"/>
        <w:ind w:start="2160" w:end="0"/>
        <w:jc w:val="both"/>
        <w:rPr/>
      </w:pPr>
      <w:r>
        <w:rPr/>
        <w:t>(c)</w:t>
        <w:tab/>
        <w:t>parking;</w:t>
      </w:r>
    </w:p>
    <w:p>
      <w:pPr>
        <w:pStyle w:val="Normal"/>
        <w:ind w:start="2160" w:end="0"/>
        <w:jc w:val="both"/>
        <w:rPr/>
      </w:pPr>
      <w:r>
        <w:rPr/>
        <w:t>(d)</w:t>
        <w:tab/>
        <w:t>meals; and</w:t>
      </w:r>
    </w:p>
    <w:p>
      <w:pPr>
        <w:pStyle w:val="Normal"/>
        <w:ind w:start="2160" w:end="0"/>
        <w:jc w:val="both"/>
        <w:rPr/>
      </w:pPr>
      <w:r>
        <w:rPr/>
        <w:t>(e)</w:t>
        <w:tab/>
        <w:t>ground transportation.</w:t>
      </w:r>
    </w:p>
    <w:p>
      <w:pPr>
        <w:pStyle w:val="Normal"/>
        <w:ind w:hanging="720" w:start="2160" w:end="0"/>
        <w:jc w:val="both"/>
        <w:rPr/>
      </w:pPr>
      <w:r>
        <w:rPr/>
      </w:r>
    </w:p>
    <w:p>
      <w:pPr>
        <w:pStyle w:val="Normal"/>
        <w:ind w:hanging="720" w:start="2160" w:end="0"/>
        <w:jc w:val="both"/>
        <w:rPr/>
      </w:pPr>
      <w:r>
        <w:rPr/>
        <w:t>6.</w:t>
        <w:tab/>
      </w:r>
      <w:r>
        <w:rPr>
          <w:u w:val="single"/>
        </w:rPr>
        <w:t>Meals</w:t>
      </w:r>
      <w:r>
        <w:rPr/>
        <w:t xml:space="preserve"> -- the reasonable expense associated with meals shall only be reimbursed in connection with travel and overtime other than overtime necessitated by the work load of the Firm for other clients.</w:t>
      </w:r>
    </w:p>
    <w:p>
      <w:pPr>
        <w:pStyle w:val="Normal"/>
        <w:ind w:hanging="720" w:start="2160" w:end="0"/>
        <w:jc w:val="both"/>
        <w:rPr/>
      </w:pPr>
      <w:r>
        <w:rPr/>
      </w:r>
    </w:p>
    <w:p>
      <w:pPr>
        <w:pStyle w:val="Normal"/>
        <w:ind w:hanging="720" w:start="2160" w:end="0"/>
        <w:jc w:val="both"/>
        <w:rPr/>
      </w:pPr>
      <w:r>
        <w:rPr/>
        <w:t>7.</w:t>
        <w:tab/>
      </w:r>
      <w:r>
        <w:rPr>
          <w:u w:val="single"/>
        </w:rPr>
        <w:t>Long Distance Calls</w:t>
      </w:r>
      <w:r>
        <w:rPr/>
        <w:t xml:space="preserve"> -- shall be reimbursed at actual cost.</w:t>
      </w:r>
    </w:p>
    <w:p>
      <w:pPr>
        <w:pStyle w:val="Normal"/>
        <w:ind w:hanging="720" w:start="2160" w:end="0"/>
        <w:jc w:val="both"/>
        <w:rPr/>
      </w:pPr>
      <w:r>
        <w:rPr/>
      </w:r>
    </w:p>
    <w:p>
      <w:pPr>
        <w:pStyle w:val="Normal"/>
        <w:ind w:hanging="720" w:start="2160" w:end="0"/>
        <w:jc w:val="both"/>
        <w:rPr/>
      </w:pPr>
      <w:r>
        <w:rPr/>
        <w:t>8.</w:t>
        <w:tab/>
      </w:r>
      <w:r>
        <w:rPr>
          <w:u w:val="single"/>
        </w:rPr>
        <w:t>Courier Expenses</w:t>
      </w:r>
      <w:r>
        <w:rPr/>
        <w:t xml:space="preserve"> -- shall be reimbursed at actual cost.</w:t>
      </w:r>
    </w:p>
    <w:p>
      <w:pPr>
        <w:pStyle w:val="Normal"/>
        <w:ind w:start="720" w:end="0"/>
        <w:jc w:val="both"/>
        <w:rPr/>
      </w:pPr>
      <w:r>
        <w:rPr/>
      </w:r>
    </w:p>
    <w:p>
      <w:pPr>
        <w:pStyle w:val="Normal"/>
        <w:jc w:val="both"/>
        <w:rPr/>
      </w:pPr>
      <w:r>
        <w:rPr/>
        <w:tab/>
        <w:t>C.</w:t>
        <w:tab/>
      </w:r>
      <w:r>
        <w:rPr>
          <w:i/>
        </w:rPr>
        <w:t>Format of Billing Statements</w:t>
      </w:r>
    </w:p>
    <w:p>
      <w:pPr>
        <w:pStyle w:val="Normal"/>
        <w:jc w:val="both"/>
        <w:rPr>
          <w:i/>
          <w:i/>
        </w:rPr>
      </w:pPr>
      <w:r>
        <w:rPr>
          <w:i/>
        </w:rPr>
      </w:r>
    </w:p>
    <w:p>
      <w:pPr>
        <w:pStyle w:val="Normal"/>
        <w:ind w:start="1440" w:end="0"/>
        <w:jc w:val="both"/>
        <w:rPr/>
      </w:pPr>
      <w:r>
        <w:rPr/>
        <w:t>Billing statements shall state the professional services and expenses for the project separately from other matters the Firm is working on for ENA or its subsidiaries.  The entries for professional services shall be in reasonably-sized and reasonably-clear increments showing for each task:</w:t>
      </w:r>
    </w:p>
    <w:p>
      <w:pPr>
        <w:pStyle w:val="Normal"/>
        <w:ind w:start="1440" w:end="0"/>
        <w:jc w:val="both"/>
        <w:rPr/>
      </w:pPr>
      <w:r>
        <w:rPr/>
      </w:r>
    </w:p>
    <w:p>
      <w:pPr>
        <w:pStyle w:val="Normal"/>
        <w:keepNext w:val="true"/>
        <w:ind w:start="1440" w:end="0"/>
        <w:jc w:val="both"/>
        <w:rPr/>
      </w:pPr>
      <w:r>
        <w:rPr/>
        <w:t>1.</w:t>
        <w:tab/>
        <w:t>A description of the ask performed,</w:t>
      </w:r>
    </w:p>
    <w:p>
      <w:pPr>
        <w:pStyle w:val="Normal"/>
        <w:ind w:start="1440" w:end="0"/>
        <w:jc w:val="both"/>
        <w:rPr/>
      </w:pPr>
      <w:r>
        <w:rPr/>
        <w:t>2.</w:t>
        <w:tab/>
        <w:t>the designated professional performing the task,</w:t>
      </w:r>
    </w:p>
    <w:p>
      <w:pPr>
        <w:pStyle w:val="Normal"/>
        <w:ind w:start="1440" w:end="0"/>
        <w:jc w:val="both"/>
        <w:rPr/>
      </w:pPr>
      <w:r>
        <w:rPr/>
        <w:t>3.</w:t>
        <w:tab/>
        <w:t>the time spent on the task,</w:t>
      </w:r>
    </w:p>
    <w:p>
      <w:pPr>
        <w:pStyle w:val="Normal"/>
        <w:ind w:start="1440" w:end="0"/>
        <w:jc w:val="both"/>
        <w:rPr/>
      </w:pPr>
      <w:r>
        <w:rPr/>
        <w:t>4.</w:t>
        <w:tab/>
        <w:t>the date on which the task was performed, and</w:t>
      </w:r>
    </w:p>
    <w:p>
      <w:pPr>
        <w:pStyle w:val="Normal"/>
        <w:ind w:start="1440" w:end="0"/>
        <w:jc w:val="both"/>
        <w:rPr/>
      </w:pPr>
      <w:r>
        <w:rPr/>
        <w:t>5.</w:t>
        <w:tab/>
        <w:t>the total charge for the task.</w:t>
      </w:r>
    </w:p>
    <w:p>
      <w:pPr>
        <w:pStyle w:val="Normal"/>
        <w:ind w:start="1440" w:end="0"/>
        <w:jc w:val="both"/>
        <w:rPr/>
      </w:pPr>
      <w:r>
        <w:rPr/>
      </w:r>
    </w:p>
    <w:p>
      <w:pPr>
        <w:pStyle w:val="Normal"/>
        <w:ind w:start="1440" w:end="0"/>
        <w:jc w:val="both"/>
        <w:rPr/>
      </w:pPr>
      <w:r>
        <w:rPr/>
        <w:t>The time increments shall be rounded (up or down) to the nearest one-tenth of an hour.</w:t>
      </w:r>
    </w:p>
    <w:p>
      <w:pPr>
        <w:pStyle w:val="Normal"/>
        <w:jc w:val="both"/>
        <w:rPr/>
      </w:pPr>
      <w:r>
        <w:rPr/>
      </w:r>
    </w:p>
    <w:p>
      <w:pPr>
        <w:pStyle w:val="Normal"/>
        <w:jc w:val="both"/>
        <w:rPr/>
      </w:pPr>
      <w:r>
        <w:rPr/>
        <w:t>3.</w:t>
        <w:tab/>
      </w:r>
      <w:r>
        <w:rPr>
          <w:u w:val="single"/>
        </w:rPr>
        <w:t>Legal Research</w:t>
      </w:r>
      <w:r>
        <w:rPr/>
        <w:t>.  If written legal research has been prepared in connection with a project, a copy of such research will be provided to the Responsible Attorney(s).  The results of other research shall be communicated to the Responsible Attorney(s).</w:t>
      </w:r>
      <w:r>
        <w:br w:type="page"/>
      </w:r>
    </w:p>
    <w:p>
      <w:pPr>
        <w:pStyle w:val="Normal"/>
        <w:jc w:val="both"/>
        <w:rPr/>
      </w:pPr>
      <w:r>
        <w:rPr/>
        <w:t>4.</w:t>
        <w:tab/>
      </w:r>
      <w:r>
        <w:rPr>
          <w:u w:val="single"/>
        </w:rPr>
        <w:t>Conflicts of Interests</w:t>
      </w:r>
      <w:r>
        <w:rPr/>
        <w:t>.  All potential conflicts of interest shall be brought promptly to the attention of the General Counsel or the Responsible Attorney(s).  By accepting the Engagement Agreement the Firm represents that it does not have conflicts of interest with respect to matters within the scope of the engagement.</w:t>
      </w:r>
    </w:p>
    <w:p>
      <w:pPr>
        <w:pStyle w:val="Normal"/>
        <w:jc w:val="both"/>
        <w:rPr/>
      </w:pPr>
      <w:r>
        <w:rPr/>
      </w:r>
    </w:p>
    <w:p>
      <w:pPr>
        <w:pStyle w:val="Normal"/>
        <w:jc w:val="both"/>
        <w:rPr/>
      </w:pPr>
      <w:r>
        <w:rPr/>
        <w:t>5.</w:t>
        <w:tab/>
      </w:r>
      <w:r>
        <w:rPr>
          <w:u w:val="single"/>
        </w:rPr>
        <w:t>Use of Local Counsel, Consultants or Other Third Parties</w:t>
      </w:r>
      <w:r>
        <w:rPr/>
        <w:t>.  The selection, retention and payment of local counsel, consultants or other third parties shall generally be handled by the Responsible Attorney(s).  If the Firm perceives a need for the services of such third parties it shall contact the Responsible Attorney(s) and shall only retain such third parties if authorized in advance by the Responsible Attorney(s).</w:t>
      </w:r>
    </w:p>
    <w:p>
      <w:pPr>
        <w:pStyle w:val="Normal"/>
        <w:jc w:val="both"/>
        <w:rPr/>
      </w:pPr>
      <w:r>
        <w:rPr/>
      </w:r>
    </w:p>
    <w:p>
      <w:pPr>
        <w:pStyle w:val="Normal"/>
        <w:jc w:val="both"/>
        <w:rPr/>
      </w:pPr>
      <w:r>
        <w:rPr/>
        <w:t>6.</w:t>
        <w:tab/>
      </w:r>
      <w:r>
        <w:rPr>
          <w:u w:val="single"/>
        </w:rPr>
        <w:t>Confidentiality</w:t>
      </w:r>
      <w:r>
        <w:rPr/>
        <w:t xml:space="preserve">.  In addition to the applicable ethical and professional responsibility standards, the Firm shall maintain the confidentiality of the substance of communications with ENA in connection with the seeking and rendering of legal </w:t>
      </w:r>
      <w:r>
        <w:rPr>
          <w:u w:val="single"/>
        </w:rPr>
        <w:t>or</w:t>
      </w:r>
      <w:r>
        <w:rPr/>
        <w:t xml:space="preserve"> </w:t>
      </w:r>
      <w:r>
        <w:rPr>
          <w:u w:val="single"/>
        </w:rPr>
        <w:t>business</w:t>
      </w:r>
      <w:r>
        <w:rPr/>
        <w:t xml:space="preserve"> advice.  The Firm recognizes and agrees that in the course of its representation it may come to know of, or participate in the development of, new business ideas, proprietary information, or innovative solutions to business problems.  The Firm agrees not to use such information in advising actual or potential competitors of ENA or potential counterparties in business or contractual relationships with ENA.</w:t>
      </w:r>
    </w:p>
    <w:p>
      <w:pPr>
        <w:pStyle w:val="Normal"/>
        <w:jc w:val="both"/>
        <w:rPr/>
      </w:pPr>
      <w:r>
        <w:rPr/>
      </w:r>
    </w:p>
    <w:p>
      <w:pPr>
        <w:pStyle w:val="Normal"/>
        <w:jc w:val="both"/>
        <w:rPr/>
      </w:pPr>
      <w:r>
        <w:rPr/>
        <w:t>7.</w:t>
        <w:tab/>
      </w:r>
      <w:r>
        <w:rPr>
          <w:u w:val="single"/>
        </w:rPr>
        <w:t>Media Contact</w:t>
      </w:r>
      <w:r>
        <w:rPr/>
        <w:t>.  All contacts with the media shall be handled by the Enron or ENA media relations personnel and not by the Firm, unless specifically authorized in advance by the Responsible Attorney(s).  The Firm shall inform the Responsible Attorney(s) regarding any contacts by the media.</w:t>
      </w:r>
    </w:p>
    <w:p>
      <w:pPr>
        <w:pStyle w:val="Normal"/>
        <w:jc w:val="both"/>
        <w:rPr/>
      </w:pPr>
      <w:r>
        <w:rPr/>
      </w:r>
    </w:p>
    <w:p>
      <w:pPr>
        <w:pStyle w:val="Normal"/>
        <w:jc w:val="both"/>
        <w:rPr/>
      </w:pPr>
      <w:r>
        <w:rPr/>
        <w:t>8.</w:t>
        <w:tab/>
      </w:r>
      <w:r>
        <w:rPr>
          <w:u w:val="single"/>
        </w:rPr>
        <w:t>Compliance with Enron Corp. Policies Regarding Conduct of Business Affairs</w:t>
      </w:r>
      <w:r>
        <w:rPr/>
        <w:t>.  Acceptance of this Engagement Agreement by the Firm evidences the Firm's agreement to abide by the Enron Corp. Policy regarding the Conduct of Business Affairs (a copy of which is attached hereto and incorporated by reference) with respect to all matters within the scope of the engagement.</w:t>
      </w:r>
      <w:r>
        <w:br w:type="page"/>
      </w:r>
    </w:p>
    <w:p>
      <w:pPr>
        <w:pStyle w:val="Normal"/>
        <w:jc w:val="center"/>
        <w:rPr>
          <w:b/>
          <w:u w:val="single"/>
        </w:rPr>
      </w:pPr>
      <w:r>
        <w:rPr>
          <w:b/>
          <w:u w:val="single"/>
        </w:rPr>
        <w:t>ATTACHMENT “B”</w:t>
      </w:r>
    </w:p>
    <w:p>
      <w:pPr>
        <w:pStyle w:val="Normal"/>
        <w:jc w:val="center"/>
        <w:rPr>
          <w:b/>
          <w:u w:val="single"/>
        </w:rPr>
      </w:pPr>
      <w:r>
        <w:rPr>
          <w:b/>
          <w:u w:val="single"/>
        </w:rPr>
      </w:r>
    </w:p>
    <w:p>
      <w:pPr>
        <w:pStyle w:val="Normal"/>
        <w:jc w:val="center"/>
        <w:rPr>
          <w:b/>
        </w:rPr>
      </w:pPr>
      <w:r>
        <w:rPr>
          <w:b/>
        </w:rPr>
        <w:t>HOURLY RATES FOR PROFESSIONAL SERVICES</w:t>
      </w:r>
    </w:p>
    <w:p>
      <w:pPr>
        <w:pStyle w:val="Normal"/>
        <w:jc w:val="center"/>
        <w:rPr>
          <w:b/>
        </w:rPr>
      </w:pPr>
      <w:r>
        <w:rPr>
          <w:b/>
        </w:rPr>
      </w:r>
    </w:p>
    <w:p>
      <w:pPr>
        <w:pStyle w:val="Normal"/>
        <w:jc w:val="center"/>
        <w:rPr>
          <w:b/>
        </w:rPr>
      </w:pPr>
      <w:r>
        <w:rPr>
          <w:b/>
        </w:rPr>
        <w:t>[FIRM to Provide]</w:t>
      </w:r>
    </w:p>
    <w:p>
      <w:pPr>
        <w:pStyle w:val="Normal"/>
        <w:jc w:val="both"/>
        <w:rPr>
          <w:b/>
        </w:rPr>
      </w:pPr>
      <w:r>
        <w:rPr>
          <w:b/>
        </w:rPr>
      </w:r>
    </w:p>
    <w:p>
      <w:pPr>
        <w:pStyle w:val="Normal"/>
        <w:jc w:val="both"/>
        <w:rPr/>
      </w:pPr>
      <w:r>
        <w:rPr/>
      </w:r>
    </w:p>
    <w:p>
      <w:pPr>
        <w:pStyle w:val="Normal"/>
        <w:jc w:val="both"/>
        <w:rPr/>
      </w:pPr>
      <w:r>
        <w:rPr>
          <w:u w:val="single"/>
        </w:rPr>
        <w:t>Attorney Name</w:t>
      </w:r>
      <w:r>
        <w:rPr/>
        <w:tab/>
        <w:tab/>
        <w:tab/>
        <w:tab/>
        <w:tab/>
        <w:tab/>
        <w:tab/>
        <w:tab/>
      </w:r>
      <w:r>
        <w:rPr>
          <w:u w:val="single"/>
        </w:rPr>
        <w:t>Hourly Rate</w:t>
      </w:r>
    </w:p>
    <w:p>
      <w:pPr>
        <w:pStyle w:val="Normal"/>
        <w:jc w:val="both"/>
        <w:rPr>
          <w:u w:val="single"/>
        </w:rPr>
      </w:pPr>
      <w:r>
        <w:rPr>
          <w:u w:val="single"/>
        </w:rPr>
      </w:r>
    </w:p>
    <w:p>
      <w:pPr>
        <w:pStyle w:val="Normal"/>
        <w:jc w:val="both"/>
        <w:rPr>
          <w:u w:val="single"/>
        </w:rPr>
      </w:pPr>
      <w:r>
        <w:rPr>
          <w:u w:val="single"/>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/mnt/main-storage/datasets/enron-docs/doc/Modrall_Sperling.doc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r>
  </w:p>
  <w:p>
    <w:pPr>
      <w:pStyle w:val="Footer"/>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jc w:val="both"/>
      <w:rPr>
        <w:rStyle w:val="PageNumber"/>
      </w:rPr>
    </w:pPr>
    <w:r>
      <w:rPr/>
    </w:r>
  </w:p>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/mnt/main-storage/datasets/enron-docs/doc/Modrall_Sperling.doc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Modrall Sperling</w:t>
    </w:r>
  </w:p>
  <w:p>
    <w:pPr>
      <w:pStyle w:val="Header"/>
      <w:rPr/>
    </w:pPr>
    <w:r>
      <w:rPr/>
      <w:t>Roehl Harris &amp; Sisk</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both"/>
      <w:outlineLvl w:val="7"/>
    </w:pPr>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tyle>
  <w:style w:type="paragraph" w:styleId="Hidden">
    <w:name w:val="Hidden"/>
    <w:basedOn w:val="Normal"/>
    <w:next w:val="Normal"/>
    <w:qFormat/>
    <w:pPr/>
    <w:rPr>
      <w:rFonts w:ascii="Times" w:hAnsi="Times" w:cs="Times"/>
      <w:vanish/>
      <w:color w:val="FF0000"/>
    </w:rPr>
  </w:style>
  <w:style w:type="paragraph" w:styleId="Justified">
    <w:name w:val="Justified"/>
    <w:basedOn w:val="Normal"/>
    <w:next w:val="Heading2"/>
    <w:qFormat/>
    <w:pPr>
      <w:spacing w:before="0" w:after="120"/>
      <w:jc w:val="both"/>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CommentText">
    <w:name w:val="Comment Text"/>
    <w:basedOn w:val="Normal"/>
    <w:qFormat/>
    <w:pPr/>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2000-05-02T17:08:00Z</dcterms:created>
  <dc:creator>Enron</dc:creator>
  <dc:description/>
  <cp:keywords>Engagement Agreement</cp:keywords>
  <dc:language>en-CA</dc:language>
  <cp:lastModifiedBy>kellis</cp:lastModifiedBy>
  <cp:lastPrinted>2000-05-16T13:55:00Z</cp:lastPrinted>
  <dcterms:modified xsi:type="dcterms:W3CDTF">2000-05-16T16:25:00Z</dcterms:modified>
  <cp:revision>6</cp:revision>
  <dc:subject/>
  <dc:title>engagement letter</dc:title>
</cp:coreProperties>
</file>