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b/>
          <w:sz w:val="24"/>
        </w:rPr>
      </w:pPr>
      <w:r>
        <w:rPr>
          <w:rFonts w:cs="Times New Roman" w:ascii="Times New Roman" w:hAnsi="Times New Roman"/>
          <w:b/>
          <w:sz w:val="24"/>
        </w:rPr>
        <w:t xml:space="preserve">Dockets Nos. EL00-95-045 </w:t>
      </w:r>
    </w:p>
    <w:p>
      <w:pPr>
        <w:pStyle w:val="Normal"/>
        <w:jc w:val="end"/>
        <w:rPr>
          <w:rFonts w:ascii="Times New Roman" w:hAnsi="Times New Roman" w:cs="Times New Roman"/>
          <w:b/>
          <w:sz w:val="24"/>
        </w:rPr>
      </w:pPr>
      <w:r>
        <w:rPr>
          <w:rFonts w:cs="Times New Roman" w:ascii="Times New Roman" w:hAnsi="Times New Roman"/>
          <w:b/>
          <w:sz w:val="24"/>
        </w:rPr>
        <w:t>and EL00-98-042</w:t>
      </w:r>
    </w:p>
    <w:p>
      <w:pPr>
        <w:pStyle w:val="Normal"/>
        <w:jc w:val="end"/>
        <w:rPr>
          <w:rFonts w:ascii="Times New Roman" w:hAnsi="Times New Roman" w:cs="Times New Roman"/>
          <w:b/>
          <w:sz w:val="24"/>
        </w:rPr>
      </w:pPr>
      <w:r>
        <w:rPr>
          <w:rFonts w:cs="Times New Roman" w:ascii="Times New Roman" w:hAnsi="Times New Roman"/>
          <w:b/>
          <w:sz w:val="24"/>
        </w:rPr>
        <w:t>Exhibit SOC-1</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UNITED STATES OF AMERICA</w:t>
      </w:r>
    </w:p>
    <w:p>
      <w:pPr>
        <w:pStyle w:val="Normal"/>
        <w:jc w:val="center"/>
        <w:rPr>
          <w:rFonts w:ascii="Times New Roman" w:hAnsi="Times New Roman" w:cs="Times New Roman"/>
          <w:b/>
          <w:sz w:val="24"/>
        </w:rPr>
      </w:pPr>
      <w:r>
        <w:rPr>
          <w:rFonts w:cs="Times New Roman" w:ascii="Times New Roman" w:hAnsi="Times New Roman"/>
          <w:b/>
          <w:sz w:val="24"/>
        </w:rPr>
        <w:t>BEFORE THE</w:t>
      </w:r>
    </w:p>
    <w:p>
      <w:pPr>
        <w:pStyle w:val="Normal"/>
        <w:jc w:val="center"/>
        <w:rPr>
          <w:rFonts w:ascii="Times New Roman" w:hAnsi="Times New Roman" w:cs="Times New Roman"/>
          <w:b/>
          <w:sz w:val="24"/>
        </w:rPr>
      </w:pPr>
      <w:r>
        <w:rPr>
          <w:rFonts w:cs="Times New Roman" w:ascii="Times New Roman" w:hAnsi="Times New Roman"/>
          <w:b/>
          <w:sz w:val="24"/>
        </w:rPr>
        <w:t>FEDERAL ENERGY REGULATORY COMMISSION</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tbl>
      <w:tblPr>
        <w:tblW w:w="8640" w:type="dxa"/>
        <w:jc w:val="start"/>
        <w:tblInd w:w="0" w:type="dxa"/>
        <w:tblLayout w:type="fixed"/>
        <w:tblCellMar>
          <w:top w:w="0" w:type="dxa"/>
          <w:start w:w="108" w:type="dxa"/>
          <w:bottom w:w="0" w:type="dxa"/>
          <w:end w:w="108" w:type="dxa"/>
        </w:tblCellMar>
      </w:tblPr>
      <w:tblGrid>
        <w:gridCol w:w="4522"/>
        <w:gridCol w:w="619"/>
        <w:gridCol w:w="3499"/>
      </w:tblGrid>
      <w:tr>
        <w:trPr/>
        <w:tc>
          <w:tcPr>
            <w:tcW w:w="4522" w:type="dxa"/>
            <w:tcBorders/>
          </w:tcPr>
          <w:p>
            <w:pPr>
              <w:pStyle w:val="Normal"/>
              <w:ind w:hanging="360" w:start="360" w:end="0"/>
              <w:rPr>
                <w:rFonts w:ascii="Times New Roman" w:hAnsi="Times New Roman" w:cs="Times New Roman"/>
                <w:b/>
                <w:sz w:val="24"/>
              </w:rPr>
            </w:pPr>
            <w:bookmarkStart w:id="0" w:name="case_name"/>
            <w:bookmarkEnd w:id="0"/>
            <w:r>
              <w:rPr>
                <w:rFonts w:cs="Times New Roman" w:ascii="Times New Roman" w:hAnsi="Times New Roman"/>
                <w:b/>
                <w:sz w:val="24"/>
              </w:rPr>
              <w:t>San Diego Gas &amp; Electric Company</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 xml:space="preserve">                           </w:t>
            </w:r>
            <w:r>
              <w:rPr>
                <w:rFonts w:cs="Times New Roman" w:ascii="Times New Roman" w:hAnsi="Times New Roman"/>
                <w:b/>
                <w:sz w:val="24"/>
              </w:rPr>
              <w:t>v.</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Sellers of Energy and Ancillary Services Into Markets Operated By the California Independent System Operator Corporation and the California Power Exchange Corporation</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tc>
        <w:tc>
          <w:tcPr>
            <w:tcW w:w="619" w:type="dxa"/>
            <w:tcBorders/>
          </w:tcPr>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r>
          </w:p>
        </w:tc>
        <w:tc>
          <w:tcPr>
            <w:tcW w:w="3499" w:type="dxa"/>
            <w:tcBorders/>
          </w:tcPr>
          <w:p>
            <w:pPr>
              <w:pStyle w:val="Normal"/>
              <w:snapToGrid w:val="false"/>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i/>
                <w:i/>
                <w:sz w:val="24"/>
              </w:rPr>
            </w:pPr>
            <w:r>
              <w:rPr>
                <w:rFonts w:cs="Times New Roman" w:ascii="Times New Roman" w:hAnsi="Times New Roman"/>
                <w:b/>
                <w:sz w:val="24"/>
              </w:rPr>
              <w:t xml:space="preserve">Dockets Nos. </w:t>
            </w:r>
            <w:bookmarkStart w:id="1" w:name="docket_nos"/>
            <w:bookmarkEnd w:id="1"/>
            <w:r>
              <w:rPr>
                <w:rFonts w:cs="Times New Roman" w:ascii="Times New Roman" w:hAnsi="Times New Roman"/>
                <w:b/>
                <w:sz w:val="24"/>
              </w:rPr>
              <w:t>EL00-95-045 and EL00-98-042</w:t>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tc>
      </w:tr>
    </w:tbl>
    <w:p>
      <w:pPr>
        <w:pStyle w:val="Normal"/>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30"/>
        </w:rPr>
      </w:pPr>
      <w:r>
        <w:rPr>
          <w:rFonts w:cs="Times New Roman" w:ascii="Times New Roman" w:hAnsi="Times New Roman"/>
          <w:b/>
          <w:sz w:val="30"/>
        </w:rPr>
        <w:t xml:space="preserve">Direct Testimony of Nitin Modi on Behalf of </w:t>
      </w:r>
    </w:p>
    <w:p>
      <w:pPr>
        <w:pStyle w:val="Normal"/>
        <w:jc w:val="center"/>
        <w:rPr>
          <w:rFonts w:ascii="Times New Roman" w:hAnsi="Times New Roman" w:cs="Times New Roman"/>
          <w:b/>
          <w:sz w:val="30"/>
          <w:u w:val="single"/>
        </w:rPr>
      </w:pPr>
      <w:r>
        <w:rPr>
          <w:rFonts w:cs="Times New Roman" w:ascii="Times New Roman" w:hAnsi="Times New Roman"/>
          <w:b/>
          <w:sz w:val="30"/>
        </w:rPr>
        <w:t>the City of Colton, California Regarding Purchased Power Costs</w:t>
      </w:r>
    </w:p>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sectPr>
          <w:footerReference w:type="default" r:id="rId2"/>
          <w:footerReference w:type="first" r:id="rId3"/>
          <w:type w:val="nextPage"/>
          <w:pgSz w:w="12240" w:h="15840"/>
          <w:pgMar w:left="1440" w:right="1440" w:gutter="0" w:header="0" w:top="1440" w:footer="864" w:bottom="1440"/>
          <w:lnNumType w:countBy="1" w:restart="newPage" w:distance="283"/>
          <w:pgNumType w:fmt="decimal"/>
          <w:formProt w:val="false"/>
          <w:titlePg/>
          <w:textDirection w:val="lrTb"/>
          <w:docGrid w:type="default" w:linePitch="360" w:charSpace="0"/>
        </w:sectPr>
      </w:pP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Q1:</w:t>
        <w:tab/>
        <w:t>Please state your full name and business address for the record.</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A1:</w:t>
        <w:tab/>
        <w:t>My name is Nitin Modi.  My business address is 650 North La Cadena Drive, Colton, California 92324.</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Q2:</w:t>
        <w:tab/>
        <w:t>Please describe your educational and employment background as it pertains to the utility industry.</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A2:</w:t>
        <w:tab/>
        <w:t>My current position is Electrical Engineering Manager for the City of Colton Electric Utility.  In that position I am responsible for power resource planning, operations, negotiation and administration of power supply contracts, risk management, supervision of scheduling and dispatching contracts, and strategic planning for development of gas turbine and distributed power generation in the City.  I have been in my current position since 1996.</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spacing w:lineRule="auto" w:line="480"/>
        <w:ind w:start="720" w:end="0"/>
        <w:rPr>
          <w:rFonts w:ascii="Times New Roman" w:hAnsi="Times New Roman" w:cs="Times New Roman"/>
          <w:sz w:val="24"/>
        </w:rPr>
      </w:pPr>
      <w:r>
        <w:rPr>
          <w:rFonts w:cs="Times New Roman" w:ascii="Times New Roman" w:hAnsi="Times New Roman"/>
          <w:sz w:val="24"/>
        </w:rPr>
        <w:t>I have more than twenty-five years of experience in the electric utility industry.  From 1975 until 1984 I held engineering positions with the Gujrat Electricity Board in India.  I have been employed in engineering positions with the City of Colton since 1984.</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Q3:</w:t>
        <w:tab/>
        <w:t>Please describe the Colton electric system.</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A3:</w:t>
        <w:tab/>
        <w:t>Colton’s electric system is a non-profit, municipally-owned electric system formed for the purpose of providing electricity to our citizens and customers in the City of Colton, California.  The Colton City Council establishes the rates for our retail customers.  Colton does not file any of its rates or wholesale contracts with the Federal Energy Regulatory Commission.</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b/>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b/>
        <w:t xml:space="preserve">For many years Colton has taken responsibility for acquiring the power and energy resources required to meet the needs of the customers we serve.  Colton seeks to maintain a balanced portfolio of long-term resources and short-term purchases in order to meet the needs of our customers reliably and at the lowest possible cost.  For our short-term purchases, we have been exposed to the same volatile prices as other purchasers of </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b/>
        <w:t xml:space="preserve">short-term energy have experienced.  Colton does not acquire resources for the purpose of </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b/>
        <w:t>re-selling them to other entities, but we do sell energy that turns out to be in excess of our customers’ needs.  In making such sales, we seek to recover our costs for the energy sold in order to reduce overall costs to our native load customers.</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Q4:</w:t>
        <w:tab/>
        <w:t>What is the purpose of your testimony?</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A4:</w:t>
        <w:tab/>
        <w:t>This Exhibit SOC-1 summarizes the marginal purchased power costs for Colton during the period from October 2, 2000 to June 20, 2001.  Colton’s marginal purchased power costs for each month during that period were as follows:</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b/>
        <w:tab/>
        <w:t>October 2000</w:t>
        <w:tab/>
        <w:tab/>
        <w:tab/>
        <w:t>$79.10/MWh</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b/>
        <w:tab/>
        <w:t>November 2000</w:t>
        <w:tab/>
        <w:tab/>
        <w:t>$87.64/MWh</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b/>
        <w:tab/>
        <w:t>December 2000</w:t>
        <w:tab/>
        <w:tab/>
        <w:t>$199.22/MWh</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b/>
        <w:tab/>
        <w:t>January 2001</w:t>
        <w:tab/>
        <w:tab/>
        <w:tab/>
        <w:t>$198.66/MWh</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b/>
        <w:tab/>
        <w:t>February 2001</w:t>
        <w:tab/>
        <w:tab/>
        <w:tab/>
        <w:t>$184.52/MWh</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b/>
        <w:tab/>
        <w:t>March 2001</w:t>
        <w:tab/>
        <w:tab/>
        <w:tab/>
        <w:t>$126.14/MWh</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b/>
        <w:tab/>
        <w:t>April 2001</w:t>
        <w:tab/>
        <w:tab/>
        <w:tab/>
        <w:t>$137.34</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b/>
        <w:tab/>
        <w:t>May 2001</w:t>
        <w:tab/>
        <w:tab/>
        <w:tab/>
        <w:t>$139.16</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b/>
        <w:tab/>
        <w:t>June 2001</w:t>
        <w:tab/>
        <w:tab/>
        <w:tab/>
        <w:t>$127.54</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b/>
        <w:t>These figures show Colton’s marginal resource costs for every hour during the indicated months.</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Q5:</w:t>
        <w:tab/>
        <w:t>Please describe the purpose of your calculations relating to Colton’s marginal purchased power costs?</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A5:</w:t>
        <w:tab/>
        <w:t xml:space="preserve">I am advised by legal counsel that even if (contrary to Colton’s view) the Commission has the jurisdiction over Colton’s sales of energy to require Colton to make refunds for sales at prices in excess of just and reasonable rates, Colton is entitled at a bare minimum to recover its costs for energy sold.  For example, if for a given hour, Colton sold energy to the ISO or PX at a price of $150/ Mwh and the revised market clearing price for that hour is determined to be $100/Mwh, it would be unfair and (according to Colton’s counsel) unlawful to require Colton to refund $50/Mwh if Colton’s marginal resource in that hour was purchased at a cost of $175/Mwh.  </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Q6:</w:t>
        <w:tab/>
        <w:t>Please describe your methodology for calculating Colton’s marginal resource costs.</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A6:</w:t>
        <w:tab/>
        <w:t>Colton’s marginal resource costs as shown above are based upon Colton’s power purchase arrangement with the City of Pasadena, California.  Colton’s marginal resource cost is calculated based on the number of kwh associated with the megawatts delivered to Colton times the heat rate of the Pasadena generating unit times Pasadena’s average monthly fuel cost per Btu for that month.</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Q7:</w:t>
        <w:tab/>
        <w:t>Does this complete your prepared testimony on this subject?</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A7:</w:t>
        <w:tab/>
        <w:t>Yes, it does.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z w:val="24"/>
        </w:rPr>
      </w:pPr>
      <w:r>
        <w:rPr>
          <w:rFonts w:cs="Times New Roman" w:ascii="Times New Roman" w:hAnsi="Times New Roman"/>
          <w:b/>
          <w:sz w:val="24"/>
        </w:rPr>
        <w:t>[THE NEXT PAGE IS THE SIGNATURE PAGE]</w:t>
      </w:r>
    </w:p>
    <w:p>
      <w:pPr>
        <w:pStyle w:val="Normal"/>
        <w:rPr>
          <w:rFonts w:ascii="Times New Roman" w:hAnsi="Times New Roman" w:cs="Times New Roman"/>
          <w:b/>
          <w:sz w:val="24"/>
        </w:rPr>
      </w:pPr>
      <w:r>
        <w:rPr>
          <w:rFonts w:cs="Times New Roman" w:ascii="Times New Roman" w:hAnsi="Times New Roman"/>
          <w:b/>
          <w:sz w:val="24"/>
        </w:rPr>
      </w:r>
    </w:p>
    <w:sectPr>
      <w:type w:val="continuous"/>
      <w:pgSz w:w="12240" w:h="15840"/>
      <w:pgMar w:left="1440" w:right="1440" w:gutter="0" w:header="0" w:top="1440" w:footer="864" w:bottom="1440"/>
      <w:lnNumType w:countBy="1" w:restart="newPage" w:distance="283"/>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Kuenst480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pPr>
    <w:r>
      <w:rPr>
        <w:sz w:val="16"/>
        <w:lang w:eastAsia="en-US"/>
      </w:rPr>
      <w:t>1710774</w:t>
    </w: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4</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1710774</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Kuenst480 BT" w:hAnsi="Kuenst480 BT" w:eastAsia="Times New Roman" w:cs="Kuenst480 BT"/>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8080"/>
      <w:u w:val="none"/>
    </w:rPr>
  </w:style>
  <w:style w:type="character" w:styleId="FollowedHyperlink">
    <w:name w:val="FollowedHyperlink"/>
    <w:basedOn w:val="DefaultParagraphFont"/>
    <w:rPr>
      <w:color w:val="800080"/>
      <w:u w:val="none"/>
    </w:rPr>
  </w:style>
  <w:style w:type="character" w:styleId="PageNumber">
    <w:name w:val="page number"/>
    <w:basedOn w:val="DefaultParagraphFont"/>
    <w:rPr>
      <w:rFonts w:ascii="Kuenst480 BT" w:hAnsi="Kuenst480 BT" w:cs="Kuenst480 BT"/>
    </w:rPr>
  </w:style>
  <w:style w:type="character" w:styleId="FootnoteCharacters">
    <w:name w:val="Footnote Characters"/>
    <w:basedOn w:val="DefaultParagraphFont"/>
    <w:qFormat/>
    <w:rPr>
      <w:rFonts w:ascii="Kuenst480 BT" w:hAnsi="Kuenst480 BT" w:cs="Kuenst480 BT"/>
      <w:vertAlign w:val="superscript"/>
    </w:rPr>
  </w:style>
  <w:style w:type="character" w:styleId="LineNumber">
    <w:name w:val="line number"/>
    <w:basedOn w:val="DefaultParagraphFont"/>
    <w:rPr>
      <w:rFonts w:ascii="Kuenst480 BT" w:hAnsi="Kuenst480 BT" w:cs="Kuenst480 BT"/>
    </w:rPr>
  </w:style>
  <w:style w:type="character" w:styleId="EndnoteCharacters">
    <w:name w:val="Endnote Characters"/>
    <w:basedOn w:val="DefaultParagraphFont"/>
    <w:qFormat/>
    <w:rPr>
      <w:rFonts w:ascii="Kuenst480 BT" w:hAnsi="Kuenst480 BT" w:cs="Kuenst480 BT"/>
      <w:vertAlign w:val="superscrip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 w:type="paragraph" w:styleId="EnvelopeReturn">
    <w:name w:val="envelope return"/>
    <w:basedOn w:val="Normal"/>
    <w:pPr/>
    <w:rPr>
      <w:sz w:val="20"/>
    </w:rPr>
  </w:style>
  <w:style w:type="paragraph" w:styleId="1E4">
    <w:name w:val="(1) E4"/>
    <w:basedOn w:val="Normal"/>
    <w:qFormat/>
    <w:pPr>
      <w:tabs>
        <w:tab w:val="clear" w:pos="720"/>
        <w:tab w:val="left" w:pos="1440" w:leader="none"/>
      </w:tabs>
      <w:spacing w:lineRule="auto" w:line="420" w:before="0" w:after="120"/>
      <w:ind w:firstLine="720" w:start="1440" w:end="0"/>
      <w:jc w:val="both"/>
    </w:pPr>
    <w:rPr>
      <w:spacing w:val="-3"/>
    </w:rPr>
  </w:style>
  <w:style w:type="paragraph" w:styleId="aE3">
    <w:name w:val="(a) E3"/>
    <w:basedOn w:val="Normal"/>
    <w:qFormat/>
    <w:pPr>
      <w:tabs>
        <w:tab w:val="clear" w:pos="720"/>
        <w:tab w:val="left" w:pos="1440" w:leader="none"/>
        <w:tab w:val="left" w:pos="2160" w:leader="none"/>
        <w:tab w:val="left" w:pos="2880" w:leader="none"/>
        <w:tab w:val="left" w:pos="3600" w:leader="none"/>
      </w:tabs>
      <w:spacing w:lineRule="auto" w:line="420" w:before="120" w:after="120"/>
      <w:ind w:firstLine="720" w:start="720" w:end="0"/>
      <w:jc w:val="both"/>
    </w:pPr>
    <w:rPr>
      <w:spacing w:val="-3"/>
    </w:rPr>
  </w:style>
  <w:style w:type="paragraph" w:styleId="AE5">
    <w:name w:val="(A) E5"/>
    <w:basedOn w:val="Normal"/>
    <w:qFormat/>
    <w:pPr>
      <w:tabs>
        <w:tab w:val="clear" w:pos="720"/>
        <w:tab w:val="left" w:pos="1440" w:leader="none"/>
      </w:tabs>
      <w:spacing w:lineRule="auto" w:line="420" w:before="0" w:after="120"/>
      <w:ind w:firstLine="720" w:start="2160" w:end="0"/>
      <w:jc w:val="both"/>
    </w:pPr>
    <w:rPr>
      <w:spacing w:val="-3"/>
    </w:rPr>
  </w:style>
  <w:style w:type="paragraph" w:styleId="ARTICLEE1">
    <w:name w:val="ARTICLE E1"/>
    <w:basedOn w:val="Normal"/>
    <w:next w:val="Normal"/>
    <w:qFormat/>
    <w:pPr>
      <w:keepNext w:val="true"/>
      <w:keepLines/>
      <w:tabs>
        <w:tab w:val="left" w:pos="720" w:leader="none"/>
        <w:tab w:val="left" w:pos="1440" w:leader="none"/>
      </w:tabs>
      <w:spacing w:lineRule="auto" w:line="420" w:before="120" w:after="0"/>
      <w:jc w:val="center"/>
    </w:pPr>
    <w:rPr>
      <w:b/>
      <w:smallCaps/>
      <w:kern w:val="2"/>
      <w:sz w:val="28"/>
    </w:rPr>
  </w:style>
  <w:style w:type="paragraph" w:styleId="SECTIONE2">
    <w:name w:val="SECTION E2"/>
    <w:basedOn w:val="Normal"/>
    <w:next w:val="Normal"/>
    <w:qFormat/>
    <w:pPr>
      <w:keepNext w:val="true"/>
      <w:keepLines/>
      <w:tabs>
        <w:tab w:val="clear" w:pos="720"/>
        <w:tab w:val="left" w:pos="1800" w:leader="none"/>
        <w:tab w:val="left" w:pos="2880" w:leader="none"/>
        <w:tab w:val="left" w:pos="3600" w:leader="none"/>
      </w:tabs>
      <w:spacing w:lineRule="auto" w:line="420" w:before="120" w:after="120"/>
      <w:jc w:val="both"/>
    </w:pPr>
    <w:rPr>
      <w:b/>
      <w:smallCap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260"/>
    </w:pPr>
    <w:rPr>
      <w:sz w:val="20"/>
    </w:rPr>
  </w:style>
  <w:style w:type="paragraph" w:styleId="Header">
    <w:name w:val="header"/>
    <w:basedOn w:val="Normal"/>
    <w:pPr>
      <w:tabs>
        <w:tab w:val="clear" w:pos="720"/>
        <w:tab w:val="center" w:pos="4680" w:leader="none"/>
        <w:tab w:val="right" w:pos="9360" w:leader="none"/>
      </w:tabs>
    </w:pPr>
    <w:rPr/>
  </w:style>
  <w:style w:type="paragraph" w:styleId="TOC3">
    <w:name w:val="toc 3"/>
    <w:basedOn w:val="Normal"/>
    <w:next w:val="Normal"/>
    <w:pPr>
      <w:ind w:hanging="0" w:start="440" w:end="0"/>
    </w:pPr>
    <w:rPr/>
  </w:style>
  <w:style w:type="paragraph" w:styleId="Index1">
    <w:name w:val="index 1"/>
    <w:basedOn w:val="Normal"/>
    <w:next w:val="Normal"/>
    <w:pPr>
      <w:ind w:hanging="220" w:start="22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60"/>
      <w:jc w:val="center"/>
      <w:outlineLvl w:val="1"/>
    </w:pPr>
    <w:rPr>
      <w:sz w:val="24"/>
    </w:rPr>
  </w:style>
  <w:style w:type="paragraph" w:styleId="TOAHeading">
    <w:name w:val="TOA Heading"/>
    <w:basedOn w:val="Normal"/>
    <w:next w:val="Normal"/>
    <w:qFormat/>
    <w:pPr>
      <w:spacing w:before="120" w:after="0"/>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2001-11-06T15:19:00Z</dcterms:created>
  <dc:creator>Thompson Coburn</dc:creator>
  <dc:description/>
  <dc:language>en-CA</dc:language>
  <cp:lastModifiedBy>Thompson Coburn</cp:lastModifiedBy>
  <cp:lastPrinted>2001-11-06T11:52:00Z</cp:lastPrinted>
  <dcterms:modified xsi:type="dcterms:W3CDTF">2001-11-06T19:27:00Z</dcterms:modified>
  <cp:revision>3</cp:revision>
  <dc:subject/>
  <dc:title>Dockets Nos</dc:title>
</cp:coreProperties>
</file>