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Normal"/>
        <w:rPr/>
      </w:pPr>
      <w:r>
        <w:rPr/>
      </w:r>
    </w:p>
    <w:p>
      <w:pPr>
        <w:pStyle w:val="Heading1"/>
        <w:ind w:hanging="0" w:start="0"/>
        <w:jc w:val="end"/>
        <w:rPr/>
      </w:pPr>
      <w:r>
        <w:rPr/>
      </w:r>
    </w:p>
    <w:p>
      <w:pPr>
        <w:pStyle w:val="Normal"/>
        <w:rPr>
          <w:sz w:val="24"/>
        </w:rPr>
      </w:pPr>
      <w:r>
        <w:rPr>
          <w:sz w:val="24"/>
        </w:rPr>
        <w:tab/>
        <w:tab/>
        <w:tab/>
        <w:t>(EnronOnline Letterhead)</w:t>
      </w:r>
    </w:p>
    <w:p>
      <w:pPr>
        <w:pStyle w:val="Heading1"/>
        <w:ind w:firstLine="720" w:start="3600" w:end="0"/>
        <w:jc w:val="center"/>
        <w:rPr/>
      </w:pPr>
      <w:r>
        <w:rPr/>
        <w:t>September __, 2000</w:t>
      </w:r>
    </w:p>
    <w:p>
      <w:pPr>
        <w:pStyle w:val="Heading1"/>
        <w:ind w:hanging="0" w:start="0"/>
        <w:rPr>
          <w:b/>
        </w:rPr>
      </w:pPr>
      <w:r>
        <w:rPr>
          <w:b/>
        </w:rPr>
      </w:r>
    </w:p>
    <w:p>
      <w:pPr>
        <w:pStyle w:val="Heading1"/>
        <w:ind w:hanging="0" w:start="0"/>
        <w:rPr>
          <w:b/>
        </w:rPr>
      </w:pPr>
      <w:r>
        <w:rPr>
          <w:b/>
        </w:rPr>
      </w:r>
    </w:p>
    <w:p>
      <w:pPr>
        <w:pStyle w:val="Normal"/>
        <w:rPr>
          <w:sz w:val="24"/>
        </w:rPr>
      </w:pPr>
      <w:r>
        <w:rPr>
          <w:sz w:val="24"/>
        </w:rPr>
        <w:t>Modesto Irrigation District</w:t>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p>
      <w:pPr>
        <w:pStyle w:val="Normal"/>
        <w:rPr>
          <w:sz w:val="24"/>
        </w:rPr>
      </w:pPr>
      <w:r>
        <w:rPr>
          <w:sz w:val="24"/>
        </w:rPr>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w:t>
      </w:r>
    </w:p>
    <w:p>
      <w:pPr>
        <w:pStyle w:val="Normal"/>
        <w:rPr>
          <w:sz w:val="24"/>
        </w:rPr>
      </w:pPr>
      <w:r>
        <w:rPr>
          <w:sz w:val="24"/>
        </w:rPr>
      </w:r>
    </w:p>
    <w:p>
      <w:pPr>
        <w:pStyle w:val="BodyText2"/>
        <w:rPr/>
      </w:pPr>
      <w:r>
        <w:rPr/>
        <w:t>This letter will serve as our agreement to the following changes to the Electronic Trading Agreement (the “ETA”), which ETA must be accepted by Modesto Irrigation District (the “Counterparty”) on the EnronOnline web site before using the site for trading:</w:t>
      </w:r>
    </w:p>
    <w:p>
      <w:pPr>
        <w:pStyle w:val="Normal"/>
        <w:jc w:val="both"/>
        <w:rPr>
          <w:sz w:val="24"/>
        </w:rPr>
      </w:pPr>
      <w:r>
        <w:rPr>
          <w:sz w:val="24"/>
        </w:rPr>
      </w:r>
    </w:p>
    <w:p>
      <w:pPr>
        <w:pStyle w:val="Normal"/>
        <w:numPr>
          <w:ilvl w:val="0"/>
          <w:numId w:val="3"/>
        </w:numPr>
        <w:tabs>
          <w:tab w:val="clear" w:pos="720"/>
          <w:tab w:val="left" w:pos="0" w:leader="none"/>
          <w:tab w:val="left" w:pos="360" w:leader="none"/>
        </w:tabs>
        <w:autoSpaceDE w:val="false"/>
        <w:spacing w:lineRule="atLeast" w:line="240"/>
        <w:ind w:hanging="0" w:start="0" w:end="0"/>
        <w:jc w:val="both"/>
        <w:rPr>
          <w:sz w:val="24"/>
        </w:rPr>
      </w:pPr>
      <w:r>
        <w:rPr>
          <w:sz w:val="24"/>
        </w:rPr>
        <w:t>Section 2(b) of the ETA is hereby amended by inserting the phrase “subject to the terms of any confidentiality provisions set forth in this Agreement, including Section 5” at the end thereof.</w:t>
      </w:r>
    </w:p>
    <w:p>
      <w:pPr>
        <w:pStyle w:val="Normal"/>
        <w:autoSpaceDE w:val="false"/>
        <w:spacing w:lineRule="atLeast" w:line="240"/>
        <w:ind w:start="360" w:end="0"/>
        <w:jc w:val="both"/>
        <w:rPr>
          <w:sz w:val="24"/>
        </w:rPr>
      </w:pPr>
      <w:r>
        <w:rPr>
          <w:sz w:val="24"/>
        </w:rPr>
      </w:r>
    </w:p>
    <w:p>
      <w:pPr>
        <w:pStyle w:val="Normal"/>
        <w:numPr>
          <w:ilvl w:val="0"/>
          <w:numId w:val="3"/>
        </w:numPr>
        <w:tabs>
          <w:tab w:val="clear" w:pos="720"/>
          <w:tab w:val="left" w:pos="0" w:leader="none"/>
          <w:tab w:val="left" w:pos="360" w:leader="none"/>
        </w:tabs>
        <w:autoSpaceDE w:val="false"/>
        <w:spacing w:lineRule="atLeast" w:line="240"/>
        <w:ind w:hanging="0" w:start="0" w:end="0"/>
        <w:jc w:val="both"/>
        <w:rPr>
          <w:color w:val="000000"/>
          <w:sz w:val="24"/>
        </w:rPr>
      </w:pPr>
      <w:r>
        <w:rPr>
          <w:sz w:val="24"/>
        </w:rPr>
        <w:t>Section 2(d) of the ETA is hereby amended by (i) substituting the phrase “Each Party represents that it” for the word “Counterparty” where it appears for the first time in the second sentence; (ii) substituting the phrase “it” for the word “Counterparty” where it appears for the second time in the second sentence; (iii) substituting the phrase “a Party” for the word “Counterparty” where it appears for the first time in the third sentence; (iv) substituting the phrase “such Party” for the word “Counterparty”  where it appears for the second time in the third sentence; (v) substituting the phrase “Each Party” for the word “Counterparty” where it appears in the fourth sentence; and (vi) substituting the phrase “Neither Party will” for the phrase “Counterparty will not” where it appears in the fifth sentence.</w:t>
      </w:r>
    </w:p>
    <w:p>
      <w:pPr>
        <w:pStyle w:val="Normal"/>
        <w:keepLines/>
        <w:autoSpaceDE w:val="false"/>
        <w:spacing w:lineRule="atLeast" w:line="240"/>
        <w:jc w:val="both"/>
        <w:rPr>
          <w:color w:val="000000"/>
          <w:sz w:val="24"/>
        </w:rPr>
      </w:pPr>
      <w:r>
        <w:rPr>
          <w:color w:val="000000"/>
          <w:sz w:val="24"/>
        </w:rPr>
      </w:r>
    </w:p>
    <w:p>
      <w:pPr>
        <w:pStyle w:val="Normal"/>
        <w:keepLines/>
        <w:tabs>
          <w:tab w:val="clear" w:pos="720"/>
          <w:tab w:val="left" w:pos="360" w:leader="none"/>
        </w:tabs>
        <w:autoSpaceDE w:val="false"/>
        <w:spacing w:lineRule="atLeast" w:line="240"/>
        <w:jc w:val="both"/>
        <w:rPr>
          <w:color w:val="000000"/>
          <w:sz w:val="24"/>
        </w:rPr>
      </w:pPr>
      <w:r>
        <w:rPr>
          <w:color w:val="000000"/>
          <w:sz w:val="24"/>
        </w:rPr>
        <w:t>3.</w:t>
        <w:tab/>
        <w:t xml:space="preserve">Section 3(e) of the ETA is hereby amended by inserting the words "Except as otherwise provided in the relevant master agreement" at the beginning of each sentence thereof.  </w:t>
      </w:r>
    </w:p>
    <w:p>
      <w:pPr>
        <w:pStyle w:val="Normal"/>
        <w:keepLines/>
        <w:autoSpaceDE w:val="false"/>
        <w:spacing w:lineRule="atLeast" w:line="240"/>
        <w:jc w:val="both"/>
        <w:rPr>
          <w:color w:val="000000"/>
          <w:sz w:val="24"/>
        </w:rPr>
      </w:pPr>
      <w:r>
        <w:rPr>
          <w:color w:val="000000"/>
          <w:sz w:val="24"/>
        </w:rPr>
      </w:r>
    </w:p>
    <w:p>
      <w:pPr>
        <w:pStyle w:val="BodyText2"/>
        <w:numPr>
          <w:ilvl w:val="0"/>
          <w:numId w:val="4"/>
        </w:numPr>
        <w:tabs>
          <w:tab w:val="clear" w:pos="720"/>
          <w:tab w:val="left" w:pos="0" w:leader="none"/>
          <w:tab w:val="left" w:pos="360" w:leader="none"/>
        </w:tabs>
        <w:ind w:hanging="0" w:start="0" w:end="0"/>
        <w:rPr/>
      </w:pPr>
      <w:r>
        <w:rPr/>
        <w:t>Section 4(b) of the ETA is hereby amended by inserting the words “, unless such access, entry or action taken or not taken arises from acts or omissions of Enron and its directors, officers, employees, agents or contractors” at the end of such section.</w:t>
      </w:r>
    </w:p>
    <w:p>
      <w:pPr>
        <w:pStyle w:val="BodyText2"/>
        <w:tabs>
          <w:tab w:val="clear" w:pos="720"/>
          <w:tab w:val="left" w:pos="360" w:leader="none"/>
        </w:tabs>
        <w:ind w:start="360" w:end="0"/>
        <w:rPr/>
      </w:pPr>
      <w:r>
        <w:rPr/>
      </w:r>
    </w:p>
    <w:p>
      <w:pPr>
        <w:pStyle w:val="BodyText2"/>
        <w:tabs>
          <w:tab w:val="clear" w:pos="720"/>
          <w:tab w:val="left" w:pos="0" w:leader="none"/>
          <w:tab w:val="left" w:pos="360" w:leader="none"/>
        </w:tabs>
        <w:rPr>
          <w:color w:val="000000"/>
        </w:rPr>
      </w:pPr>
      <w:r>
        <w:rPr/>
        <w:t>5.</w:t>
        <w:tab/>
        <w:t>Section 5(a) of the ETA is hereby amended by inserting the phrase “directors,” before the phrase “officers, employees” where it appears in the first sentence.</w:t>
      </w:r>
    </w:p>
    <w:p>
      <w:pPr>
        <w:pStyle w:val="Normal"/>
        <w:jc w:val="both"/>
        <w:rPr>
          <w:color w:val="000000"/>
          <w:sz w:val="24"/>
        </w:rPr>
      </w:pPr>
      <w:r>
        <w:rPr>
          <w:color w:val="000000"/>
          <w:sz w:val="24"/>
        </w:rPr>
      </w:r>
    </w:p>
    <w:p>
      <w:pPr>
        <w:pStyle w:val="Normal"/>
        <w:numPr>
          <w:ilvl w:val="0"/>
          <w:numId w:val="2"/>
        </w:numPr>
        <w:tabs>
          <w:tab w:val="clear" w:pos="720"/>
          <w:tab w:val="left" w:pos="360" w:leader="none"/>
        </w:tabs>
        <w:ind w:hanging="0" w:start="0" w:end="0"/>
        <w:jc w:val="both"/>
        <w:rPr>
          <w:color w:val="000000"/>
          <w:sz w:val="24"/>
        </w:rPr>
      </w:pPr>
      <w:r>
        <w:rPr>
          <w:color w:val="000000"/>
          <w:sz w:val="24"/>
        </w:rPr>
        <w:t>Section 6(a) of the ETA is hereby amended by deleting the words “Enron upon written notice to Counterparty” therein and replacing it with the words “a Party upon written notice to the other Party.”  The following is also added to the end of Section 6(a):  “Provided, further that if the Counterparty terminates this Agreement as provided hereunder, it shall cease using its userID and Password(s) to effectuate Transactions.  If Counterparty nonetheless enters into any Transactions after its termination of this Agreement, Counterparty agrees that this Agreement shall remain in effect with respect to any Transactions thus effected.”</w:t>
      </w:r>
    </w:p>
    <w:p>
      <w:pPr>
        <w:pStyle w:val="Normal"/>
        <w:tabs>
          <w:tab w:val="clear" w:pos="720"/>
          <w:tab w:val="left" w:pos="360" w:leader="none"/>
        </w:tabs>
        <w:ind w:start="360" w:end="0"/>
        <w:jc w:val="both"/>
        <w:rPr>
          <w:color w:val="000000"/>
          <w:sz w:val="24"/>
        </w:rPr>
      </w:pPr>
      <w:r>
        <w:rPr>
          <w:color w:val="000000"/>
          <w:sz w:val="24"/>
        </w:rPr>
      </w:r>
    </w:p>
    <w:p>
      <w:pPr>
        <w:pStyle w:val="Normal"/>
        <w:jc w:val="both"/>
        <w:rPr>
          <w:sz w:val="24"/>
        </w:rPr>
      </w:pPr>
      <w:r>
        <w:rPr>
          <w:sz w:val="24"/>
        </w:rPr>
        <w:t>Please indicate Modesto Irrigation District’s agreement to the foregoing by arranging execution of this letter agreement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Online, LLC</w:t>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Modesto Irrigation District</w:t>
      </w:r>
    </w:p>
    <w:p>
      <w:pPr>
        <w:pStyle w:val="Normal"/>
        <w:rPr>
          <w:sz w:val="24"/>
        </w:rPr>
      </w:pPr>
      <w:r>
        <w:rPr>
          <w:sz w:val="24"/>
        </w:rPr>
      </w:r>
    </w:p>
    <w:p>
      <w:pPr>
        <w:pStyle w:val="Normal"/>
        <w:rPr>
          <w:sz w:val="24"/>
        </w:rPr>
      </w:pPr>
      <w:r>
        <w:rPr>
          <w:sz w:val="24"/>
        </w:rPr>
      </w:r>
    </w:p>
    <w:p>
      <w:pPr>
        <w:pStyle w:val="Normal"/>
        <w:rPr>
          <w:sz w:val="24"/>
        </w:rPr>
      </w:pPr>
      <w:r>
        <w:rPr>
          <w:sz w:val="24"/>
        </w:rPr>
        <w:t>By:______________________</w:t>
      </w:r>
    </w:p>
    <w:p>
      <w:pPr>
        <w:pStyle w:val="Heading1"/>
        <w:ind w:hanging="0" w:start="0"/>
        <w:rPr/>
      </w:pPr>
      <w:r>
        <w:rPr/>
        <w:t>Name:___________________</w:t>
      </w:r>
    </w:p>
    <w:p>
      <w:pPr>
        <w:pStyle w:val="Heading1"/>
        <w:ind w:hanging="0" w:start="0"/>
        <w:rPr/>
      </w:pPr>
      <w:r>
        <w:rPr/>
        <w:t>Title:____________________</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Modesto Irrigation District</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sz w:val="24"/>
      </w:rPr>
    </w:lvl>
  </w:abstractNum>
  <w:abstractNum w:abstractNumId="4">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z w:val="24"/>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2000-09-18T12:50:00Z</dcterms:created>
  <dc:creator>mtaylo1</dc:creator>
  <dc:description/>
  <dc:language>en-CA</dc:language>
  <cp:lastModifiedBy>leslie hansen</cp:lastModifiedBy>
  <cp:lastPrinted>2000-10-03T13:14:00Z</cp:lastPrinted>
  <dcterms:modified xsi:type="dcterms:W3CDTF">2000-10-03T15:44:00Z</dcterms:modified>
  <cp:revision>4</cp:revision>
  <dc:subject/>
  <dc:title>J</dc:title>
</cp:coreProperties>
</file>