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RESEARCH INITIATIVE ON “MODERN GIANTS”</w:t>
      </w:r>
    </w:p>
    <w:p>
      <w:pPr>
        <w:pStyle w:val="Heading"/>
        <w:rPr/>
      </w:pPr>
      <w:r>
        <w:rPr/>
      </w:r>
    </w:p>
    <w:p>
      <w:pPr>
        <w:pStyle w:val="Heading"/>
        <w:rPr/>
      </w:pPr>
      <w:r>
        <w:rPr/>
        <w:t>Harvard Business School</w:t>
      </w:r>
    </w:p>
    <w:p>
      <w:pPr>
        <w:pStyle w:val="Heading4"/>
        <w:spacing w:before="200" w:after="0"/>
        <w:ind w:hanging="0" w:start="0"/>
        <w:rPr/>
      </w:pPr>
      <w:r>
        <w:rPr/>
      </w:r>
    </w:p>
    <w:p>
      <w:pPr>
        <w:pStyle w:val="Normal"/>
        <w:rPr>
          <w:rFonts w:ascii="Palatino" w:hAnsi="Palatino" w:cs="Palatino"/>
          <w:b/>
          <w:sz w:val="21"/>
        </w:rPr>
      </w:pPr>
      <w:r>
        <w:rPr>
          <w:rFonts w:cs="Palatino" w:ascii="Palatino" w:hAnsi="Palatino"/>
          <w:b/>
          <w:sz w:val="21"/>
        </w:rPr>
      </w:r>
    </w:p>
    <w:p>
      <w:pPr>
        <w:pStyle w:val="Normal"/>
        <w:rPr>
          <w:rFonts w:ascii="Palatino" w:hAnsi="Palatino" w:cs="Palatino"/>
          <w:b/>
          <w:sz w:val="21"/>
        </w:rPr>
      </w:pPr>
      <w:r>
        <w:rPr>
          <w:rFonts w:cs="Palatino" w:ascii="Palatino" w:hAnsi="Palatino"/>
          <w:b/>
          <w:sz w:val="21"/>
        </w:rPr>
      </w:r>
    </w:p>
    <w:p>
      <w:pPr>
        <w:pStyle w:val="Heading1"/>
        <w:ind w:hanging="0" w:start="0"/>
        <w:rPr>
          <w:sz w:val="21"/>
        </w:rPr>
      </w:pPr>
      <w:r>
        <w:rPr>
          <w:sz w:val="21"/>
        </w:rPr>
        <w:t>OVERVIEW</w:t>
      </w:r>
    </w:p>
    <w:p>
      <w:pPr>
        <w:pStyle w:val="Normal"/>
        <w:rPr>
          <w:rFonts w:ascii="Palatino" w:hAnsi="Palatino" w:cs="Palatino"/>
          <w:b/>
          <w:sz w:val="21"/>
        </w:rPr>
      </w:pPr>
      <w:r>
        <w:rPr>
          <w:rFonts w:cs="Palatino" w:ascii="Palatino" w:hAnsi="Palatino"/>
          <w:b/>
          <w:sz w:val="21"/>
        </w:rPr>
      </w:r>
    </w:p>
    <w:p>
      <w:pPr>
        <w:pStyle w:val="BodyText"/>
        <w:rPr>
          <w:sz w:val="21"/>
        </w:rPr>
      </w:pPr>
      <w:r>
        <w:rPr>
          <w:sz w:val="21"/>
        </w:rPr>
        <w:t xml:space="preserve">Our proposed research initiative will focus on the management of large, complex enterprises—“modern giants”—firms of huge scale and scope with many billions of dollars in revenues and tens of thousands of employees. </w:t>
      </w:r>
    </w:p>
    <w:p>
      <w:pPr>
        <w:pStyle w:val="BodyText"/>
        <w:rPr>
          <w:sz w:val="21"/>
        </w:rPr>
      </w:pPr>
      <w:r>
        <w:rPr>
          <w:sz w:val="21"/>
        </w:rPr>
      </w:r>
    </w:p>
    <w:p>
      <w:pPr>
        <w:pStyle w:val="BodyText"/>
        <w:rPr>
          <w:sz w:val="21"/>
        </w:rPr>
      </w:pPr>
      <w:r>
        <w:rPr>
          <w:sz w:val="21"/>
        </w:rPr>
        <w:t xml:space="preserve">Our interest lies in how these modern giants work, including for example:  the functioning of the corporate office, particularly its interactions with the board of directors and senior management; the roles and work practices of divisional general managers and their teams; and the design and operation of related administrative structures, systems, and processes.  In the most general sense, we seek to refine and answer the question of “how the leaders of large, complex organizations actually get things done.”  </w:t>
      </w:r>
    </w:p>
    <w:p>
      <w:pPr>
        <w:pStyle w:val="BodyText"/>
        <w:rPr>
          <w:sz w:val="21"/>
        </w:rPr>
      </w:pPr>
      <w:r>
        <w:rPr>
          <w:sz w:val="21"/>
        </w:rPr>
      </w:r>
    </w:p>
    <w:p>
      <w:pPr>
        <w:pStyle w:val="BodyText"/>
        <w:rPr/>
      </w:pPr>
      <w:r>
        <w:rPr>
          <w:sz w:val="21"/>
        </w:rPr>
        <w:t xml:space="preserve">This is not a project on corporate strategy, although that will be an important contextual factor.  Neither is it a project on organizational design, although that, too, will be an important object of study.  Rather, </w:t>
      </w:r>
      <w:r>
        <w:rPr>
          <w:i/>
          <w:sz w:val="21"/>
        </w:rPr>
        <w:t>the purpose of this research is to study the initiation, ratification, and implementation of senior management decisions in complex enterprises and to understand how these decisions are shaped by patterns of corporate leadership, governance, and control.</w:t>
      </w:r>
    </w:p>
    <w:p>
      <w:pPr>
        <w:pStyle w:val="BodyText"/>
        <w:rPr>
          <w:i/>
          <w:i/>
          <w:sz w:val="21"/>
        </w:rPr>
      </w:pPr>
      <w:r>
        <w:rPr>
          <w:i/>
          <w:sz w:val="21"/>
        </w:rPr>
      </w:r>
    </w:p>
    <w:p>
      <w:pPr>
        <w:pStyle w:val="BodyText"/>
        <w:rPr>
          <w:sz w:val="21"/>
        </w:rPr>
      </w:pPr>
      <w:r>
        <w:rPr>
          <w:sz w:val="21"/>
        </w:rPr>
        <w:t>Much remains to be learned about the distinctive challenges of running truly vast enterprises.  At some level the managerial challenges appear almost insurmountable—motivating and coordinating thousands of people spread across several continents who compete simultaneously in many diverse markets.  Yet some managers and some organizations are clearly successful at this task, while others are not.  How can we explain these differences in performance?  Do they relate to how senior management teams spend their time and make decisions?  To how they design and operate critical governance processes and control systems?  To the incentives shaping leaders’ behavior?  With such questions in mind, this project becomes a study of the work of senior management teams, their collective learning and decision-making processes, and, more broadly, the internal governance and control systems that provide direction.</w:t>
      </w:r>
    </w:p>
    <w:p>
      <w:pPr>
        <w:pStyle w:val="BodyText"/>
        <w:rPr>
          <w:sz w:val="21"/>
        </w:rPr>
      </w:pPr>
      <w:r>
        <w:rPr>
          <w:sz w:val="21"/>
        </w:rPr>
      </w:r>
    </w:p>
    <w:p>
      <w:pPr>
        <w:pStyle w:val="BodyText"/>
        <w:rPr>
          <w:sz w:val="21"/>
        </w:rPr>
      </w:pPr>
      <w:r>
        <w:rPr>
          <w:sz w:val="21"/>
        </w:rPr>
        <w:t>This research initiative has been planned with several design criteria in mind—each of which will be summarized below.  However, beyond the horizon of this specific research initiative is the vision of a newly constituted interest group or faculty unit at the School devoted to teaching and research on the practice of general management.  Indeed, we envision this research initiative as the critical first step in renewing the School’s leadership position and well-deserved reputation in general management.  (We have no recommendations at this time regarding the name of such a new faculty unit.)</w:t>
      </w:r>
    </w:p>
    <w:p>
      <w:pPr>
        <w:pStyle w:val="BodyText"/>
        <w:rPr>
          <w:b/>
          <w:sz w:val="21"/>
        </w:rPr>
      </w:pPr>
      <w:r>
        <w:rPr>
          <w:b/>
          <w:sz w:val="21"/>
        </w:rPr>
      </w:r>
    </w:p>
    <w:p>
      <w:pPr>
        <w:pStyle w:val="BodyText"/>
        <w:rPr>
          <w:b/>
          <w:sz w:val="21"/>
        </w:rPr>
      </w:pPr>
      <w:r>
        <w:rPr>
          <w:b/>
          <w:sz w:val="21"/>
        </w:rPr>
        <w:t>SCOPE AND SCALE OF RESEARCH INITIATIVE</w:t>
      </w:r>
    </w:p>
    <w:p>
      <w:pPr>
        <w:pStyle w:val="BodyText"/>
        <w:rPr>
          <w:b/>
          <w:sz w:val="21"/>
        </w:rPr>
      </w:pPr>
      <w:r>
        <w:rPr>
          <w:b/>
          <w:sz w:val="21"/>
        </w:rPr>
      </w:r>
    </w:p>
    <w:p>
      <w:pPr>
        <w:pStyle w:val="BodyText"/>
        <w:rPr>
          <w:sz w:val="21"/>
        </w:rPr>
      </w:pPr>
      <w:r>
        <w:rPr>
          <w:sz w:val="21"/>
        </w:rPr>
        <w:t>The scope of this project is broad.  We envision a detailed, comparative study of six to ten US and non-US companies—each a “modern giant”—selected to provide both variety and commonality in terms of product, technology, organizational form, and geography.  Each site will be matched with one or two senior HBS faculty researchers supported by research assistants.  We envision these company relationships as long-term affiliations, spanning unforeseen changes in policy, practice, and executive personnel.  Data will be collected through intensive field research conducted at the very highest levels of the organization (from divisional general managers through the CEO and the Board) and survey questionnaires.  The detailed questions and themes to be investigated in each of these companies have yet to be developed by the research team, but preliminary discussions have flushed out four representative issues:</w:t>
      </w:r>
    </w:p>
    <w:p>
      <w:pPr>
        <w:pStyle w:val="BodyText"/>
        <w:rPr>
          <w:sz w:val="21"/>
        </w:rPr>
      </w:pPr>
      <w:r>
        <w:rPr>
          <w:sz w:val="21"/>
        </w:rPr>
      </w:r>
    </w:p>
    <w:p>
      <w:pPr>
        <w:pStyle w:val="BodyText"/>
        <w:numPr>
          <w:ilvl w:val="0"/>
          <w:numId w:val="2"/>
        </w:numPr>
        <w:tabs>
          <w:tab w:val="left" w:pos="720" w:leader="none"/>
        </w:tabs>
        <w:ind w:hanging="360" w:start="720" w:end="0"/>
        <w:rPr>
          <w:b/>
          <w:sz w:val="21"/>
        </w:rPr>
      </w:pPr>
      <w:r>
        <w:rPr>
          <w:sz w:val="21"/>
        </w:rPr>
        <w:t>Implications of differing ownership, capital, and organizational structures on decision-making and administrative behavior;</w:t>
      </w:r>
    </w:p>
    <w:p>
      <w:pPr>
        <w:pStyle w:val="BodyText"/>
        <w:numPr>
          <w:ilvl w:val="0"/>
          <w:numId w:val="3"/>
        </w:numPr>
        <w:tabs>
          <w:tab w:val="left" w:pos="720" w:leader="none"/>
        </w:tabs>
        <w:ind w:hanging="360" w:start="720" w:end="0"/>
        <w:rPr>
          <w:b/>
          <w:sz w:val="21"/>
        </w:rPr>
      </w:pPr>
      <w:r>
        <w:rPr>
          <w:sz w:val="21"/>
        </w:rPr>
        <w:t>Design, functioning, and leadership of senior management teams (corporate and divisional);</w:t>
      </w:r>
    </w:p>
    <w:p>
      <w:pPr>
        <w:pStyle w:val="BodyText"/>
        <w:numPr>
          <w:ilvl w:val="0"/>
          <w:numId w:val="4"/>
        </w:numPr>
        <w:tabs>
          <w:tab w:val="left" w:pos="720" w:leader="none"/>
        </w:tabs>
        <w:ind w:hanging="360" w:start="720" w:end="0"/>
        <w:rPr>
          <w:b/>
          <w:sz w:val="21"/>
        </w:rPr>
      </w:pPr>
      <w:r>
        <w:rPr>
          <w:sz w:val="21"/>
        </w:rPr>
        <w:t>Internal governance and control of diverse</w:t>
      </w:r>
      <w:r>
        <w:rPr>
          <w:b/>
          <w:sz w:val="21"/>
        </w:rPr>
        <w:t xml:space="preserve"> </w:t>
      </w:r>
      <w:r>
        <w:rPr>
          <w:sz w:val="21"/>
        </w:rPr>
        <w:t>business units; and</w:t>
      </w:r>
    </w:p>
    <w:p>
      <w:pPr>
        <w:pStyle w:val="BodyText"/>
        <w:numPr>
          <w:ilvl w:val="0"/>
          <w:numId w:val="5"/>
        </w:numPr>
        <w:tabs>
          <w:tab w:val="left" w:pos="720" w:leader="none"/>
        </w:tabs>
        <w:ind w:hanging="360" w:start="720" w:end="0"/>
        <w:rPr>
          <w:b/>
          <w:sz w:val="21"/>
        </w:rPr>
      </w:pPr>
      <w:r>
        <w:rPr>
          <w:sz w:val="21"/>
        </w:rPr>
        <w:t>Comparative approaches to restructuring, acquisitions and divestitures, and alliances.</w:t>
      </w:r>
    </w:p>
    <w:p>
      <w:pPr>
        <w:pStyle w:val="BodyText"/>
        <w:rPr>
          <w:b/>
          <w:sz w:val="21"/>
        </w:rPr>
      </w:pPr>
      <w:r>
        <w:rPr>
          <w:b/>
          <w:sz w:val="21"/>
        </w:rPr>
      </w:r>
    </w:p>
    <w:p>
      <w:pPr>
        <w:pStyle w:val="BodyText"/>
        <w:rPr>
          <w:sz w:val="21"/>
        </w:rPr>
      </w:pPr>
      <w:r>
        <w:rPr>
          <w:sz w:val="21"/>
        </w:rPr>
        <w:t xml:space="preserve">An important feature of this research initiative is the creation of top management forums for CEOs, CFOs and divisional general managers to be held here at the School.  Right from the start, we intend to involve the top management of our “client” companies in the design and discussion of our research. </w:t>
      </w:r>
    </w:p>
    <w:p>
      <w:pPr>
        <w:pStyle w:val="BodyText"/>
        <w:rPr>
          <w:sz w:val="21"/>
        </w:rPr>
      </w:pPr>
      <w:r>
        <w:rPr>
          <w:sz w:val="21"/>
        </w:rPr>
      </w:r>
    </w:p>
    <w:p>
      <w:pPr>
        <w:pStyle w:val="BodyText"/>
        <w:rPr>
          <w:sz w:val="21"/>
        </w:rPr>
      </w:pPr>
      <w:r>
        <w:rPr>
          <w:sz w:val="21"/>
        </w:rPr>
        <w:t xml:space="preserve">We also see important links with the MBA curriculum and the new doctoral program.   Case material developed in the course of company-specific research will both reflect a renewed focus on administrative practices and seed designated EC “platform” courses.  These courses have yet to be chartered, but leading candidates include (a) General Management: Processes and Action and (b)  Governance and Corporate Control—either under their current names or combined with other EC courses and renamed. </w:t>
      </w:r>
    </w:p>
    <w:p>
      <w:pPr>
        <w:pStyle w:val="BodyText"/>
        <w:rPr>
          <w:sz w:val="21"/>
        </w:rPr>
      </w:pPr>
      <w:r>
        <w:rPr>
          <w:sz w:val="21"/>
        </w:rPr>
      </w:r>
    </w:p>
    <w:p>
      <w:pPr>
        <w:pStyle w:val="BodyText"/>
        <w:ind w:end="-450"/>
        <w:rPr>
          <w:sz w:val="21"/>
        </w:rPr>
      </w:pPr>
      <w:r>
        <w:rPr>
          <w:sz w:val="21"/>
        </w:rPr>
        <w:t xml:space="preserve">With respect to the doctoral program, the research initiative will offer clinical research and casewriting opportunities to DBA and PhD candidates linked to “best of class,” administratively- oriented faculty research.  In addition, Professor Garvin has already agreed to offer a completely redesigned clinical field research course (a level 2 offering) with Michael Roberto, an outstanding DBA student who has been recently hired as an Assistant Professor.   </w:t>
      </w:r>
    </w:p>
    <w:p>
      <w:pPr>
        <w:pStyle w:val="BodyText"/>
        <w:rPr>
          <w:sz w:val="21"/>
        </w:rPr>
      </w:pPr>
      <w:r>
        <w:rPr>
          <w:sz w:val="21"/>
        </w:rPr>
      </w:r>
    </w:p>
    <w:p>
      <w:pPr>
        <w:pStyle w:val="BodyText"/>
        <w:rPr>
          <w:sz w:val="21"/>
        </w:rPr>
      </w:pPr>
      <w:r>
        <w:rPr>
          <w:sz w:val="21"/>
        </w:rPr>
        <w:t xml:space="preserve">We see this research project as being (at least) a five-year initiative.  It involves a time-intensive research design, collaborative processes, contracting process with participating companies, and publishing strategy for derivative manuscripts and teaching materials.  With respect to intellectual output, we see a broad array of paper-based and electronic possibilities based upon traditional books, cases, and videos.  </w:t>
      </w:r>
    </w:p>
    <w:p>
      <w:pPr>
        <w:pStyle w:val="BodyText"/>
        <w:rPr>
          <w:sz w:val="21"/>
        </w:rPr>
      </w:pPr>
      <w:r>
        <w:rPr>
          <w:sz w:val="21"/>
        </w:rPr>
      </w:r>
    </w:p>
    <w:p>
      <w:pPr>
        <w:pStyle w:val="BodyText"/>
        <w:rPr>
          <w:sz w:val="21"/>
        </w:rPr>
      </w:pPr>
      <w:r>
        <w:rPr>
          <w:sz w:val="21"/>
        </w:rPr>
        <w:t xml:space="preserve">We also see a large research team of eight to ten primary investigators, supported by research assistants, drawn from a variety of faculty units.  Eight senior faculty members with long track records in the study of complex enterprises have already enthusiastically signed on to this initiative, along with Michael Roberto.  They include: </w:t>
      </w:r>
    </w:p>
    <w:p>
      <w:pPr>
        <w:pStyle w:val="BodyText"/>
        <w:rPr>
          <w:sz w:val="21"/>
        </w:rPr>
      </w:pPr>
      <w:r>
        <w:rPr>
          <w:sz w:val="21"/>
        </w:rPr>
      </w:r>
    </w:p>
    <w:p>
      <w:pPr>
        <w:pStyle w:val="BodyText"/>
        <w:numPr>
          <w:ilvl w:val="0"/>
          <w:numId w:val="6"/>
        </w:numPr>
        <w:tabs>
          <w:tab w:val="clear" w:pos="720"/>
          <w:tab w:val="left" w:pos="1080" w:leader="none"/>
        </w:tabs>
        <w:ind w:hanging="360" w:start="1080" w:end="0"/>
        <w:rPr>
          <w:sz w:val="21"/>
        </w:rPr>
      </w:pPr>
      <w:r>
        <w:rPr>
          <w:sz w:val="21"/>
        </w:rPr>
        <w:t>David Garvin and Mal Salter, Co-Directors</w:t>
      </w:r>
    </w:p>
    <w:p>
      <w:pPr>
        <w:pStyle w:val="BodyText"/>
        <w:numPr>
          <w:ilvl w:val="0"/>
          <w:numId w:val="7"/>
        </w:numPr>
        <w:tabs>
          <w:tab w:val="clear" w:pos="720"/>
          <w:tab w:val="left" w:pos="1080" w:leader="none"/>
        </w:tabs>
        <w:ind w:hanging="360" w:start="1080" w:end="0"/>
        <w:rPr>
          <w:sz w:val="21"/>
        </w:rPr>
      </w:pPr>
      <w:r>
        <w:rPr>
          <w:sz w:val="21"/>
        </w:rPr>
        <w:t>Joe Bower</w:t>
      </w:r>
    </w:p>
    <w:p>
      <w:pPr>
        <w:pStyle w:val="BodyText"/>
        <w:numPr>
          <w:ilvl w:val="0"/>
          <w:numId w:val="8"/>
        </w:numPr>
        <w:tabs>
          <w:tab w:val="clear" w:pos="720"/>
          <w:tab w:val="left" w:pos="1080" w:leader="none"/>
        </w:tabs>
        <w:ind w:hanging="360" w:start="1080" w:end="0"/>
        <w:rPr>
          <w:sz w:val="21"/>
        </w:rPr>
      </w:pPr>
      <w:r>
        <w:rPr>
          <w:sz w:val="21"/>
        </w:rPr>
        <w:t>Srikant Datar</w:t>
      </w:r>
    </w:p>
    <w:p>
      <w:pPr>
        <w:pStyle w:val="BodyText"/>
        <w:numPr>
          <w:ilvl w:val="0"/>
          <w:numId w:val="9"/>
        </w:numPr>
        <w:tabs>
          <w:tab w:val="clear" w:pos="720"/>
          <w:tab w:val="left" w:pos="1080" w:leader="none"/>
        </w:tabs>
        <w:ind w:hanging="360" w:start="1080" w:end="0"/>
        <w:rPr>
          <w:sz w:val="21"/>
        </w:rPr>
      </w:pPr>
      <w:r>
        <w:rPr>
          <w:sz w:val="21"/>
        </w:rPr>
        <w:t>Stu Gilson</w:t>
      </w:r>
    </w:p>
    <w:p>
      <w:pPr>
        <w:pStyle w:val="BodyText"/>
        <w:numPr>
          <w:ilvl w:val="0"/>
          <w:numId w:val="10"/>
        </w:numPr>
        <w:tabs>
          <w:tab w:val="clear" w:pos="720"/>
          <w:tab w:val="left" w:pos="1080" w:leader="none"/>
        </w:tabs>
        <w:ind w:hanging="360" w:start="1080" w:end="0"/>
        <w:rPr>
          <w:sz w:val="21"/>
        </w:rPr>
      </w:pPr>
      <w:r>
        <w:rPr>
          <w:sz w:val="21"/>
        </w:rPr>
        <w:t>Linda Hill</w:t>
      </w:r>
    </w:p>
    <w:p>
      <w:pPr>
        <w:pStyle w:val="BodyText"/>
        <w:numPr>
          <w:ilvl w:val="0"/>
          <w:numId w:val="11"/>
        </w:numPr>
        <w:tabs>
          <w:tab w:val="clear" w:pos="720"/>
          <w:tab w:val="left" w:pos="1080" w:leader="none"/>
        </w:tabs>
        <w:ind w:hanging="360" w:start="1080" w:end="0"/>
        <w:rPr>
          <w:sz w:val="21"/>
        </w:rPr>
      </w:pPr>
      <w:r>
        <w:rPr>
          <w:sz w:val="21"/>
        </w:rPr>
        <w:t>Bob Hayes</w:t>
      </w:r>
    </w:p>
    <w:p>
      <w:pPr>
        <w:pStyle w:val="BodyText"/>
        <w:numPr>
          <w:ilvl w:val="0"/>
          <w:numId w:val="12"/>
        </w:numPr>
        <w:tabs>
          <w:tab w:val="clear" w:pos="720"/>
          <w:tab w:val="left" w:pos="1080" w:leader="none"/>
        </w:tabs>
        <w:ind w:hanging="360" w:start="1080" w:end="0"/>
        <w:rPr>
          <w:sz w:val="21"/>
        </w:rPr>
      </w:pPr>
      <w:r>
        <w:rPr>
          <w:sz w:val="21"/>
        </w:rPr>
        <w:t>Bob Simons</w:t>
      </w:r>
    </w:p>
    <w:p>
      <w:pPr>
        <w:pStyle w:val="BodyText"/>
        <w:rPr>
          <w:sz w:val="21"/>
        </w:rPr>
      </w:pPr>
      <w:r>
        <w:rPr>
          <w:sz w:val="21"/>
        </w:rPr>
      </w:r>
    </w:p>
    <w:p>
      <w:pPr>
        <w:pStyle w:val="BodyText"/>
        <w:ind w:end="-180"/>
        <w:rPr>
          <w:sz w:val="21"/>
        </w:rPr>
      </w:pPr>
      <w:r>
        <w:rPr>
          <w:sz w:val="21"/>
        </w:rPr>
        <w:t xml:space="preserve">At least two additional faculty members are under consideration as well.  Each of the participating faculty members is an experienced researcher with a clinical bent, represents requisite diversity in discipline-based knowledge, possesses a track record of producing first-class research output, and has the personal skills required to successfully establish and maintain productive relationships with the leadership of major corporations.  </w:t>
      </w:r>
    </w:p>
    <w:p>
      <w:pPr>
        <w:pStyle w:val="BodyText"/>
        <w:rPr>
          <w:sz w:val="21"/>
        </w:rPr>
      </w:pPr>
      <w:r>
        <w:rPr>
          <w:sz w:val="21"/>
        </w:rPr>
      </w:r>
    </w:p>
    <w:p>
      <w:pPr>
        <w:pStyle w:val="BodyText"/>
        <w:ind w:end="-180"/>
        <w:rPr>
          <w:sz w:val="21"/>
        </w:rPr>
      </w:pPr>
      <w:r>
        <w:rPr>
          <w:sz w:val="21"/>
        </w:rPr>
        <w:t xml:space="preserve">Finally, the research initiative will require an executive director, much like the entrepreneurial management and social enterprise initiatives at the School.  </w:t>
      </w:r>
    </w:p>
    <w:p>
      <w:pPr>
        <w:pStyle w:val="BodyText"/>
        <w:rPr>
          <w:sz w:val="21"/>
        </w:rPr>
      </w:pPr>
      <w:r>
        <w:rPr>
          <w:sz w:val="21"/>
        </w:rPr>
      </w:r>
    </w:p>
    <w:p>
      <w:pPr>
        <w:pStyle w:val="BodyText"/>
        <w:rPr>
          <w:sz w:val="21"/>
        </w:rPr>
      </w:pPr>
      <w:r>
        <w:rPr>
          <w:sz w:val="21"/>
        </w:rPr>
      </w:r>
    </w:p>
    <w:p>
      <w:pPr>
        <w:pStyle w:val="BodyText"/>
        <w:rPr>
          <w:sz w:val="21"/>
        </w:rPr>
      </w:pPr>
      <w:r>
        <w:rPr>
          <w:b/>
          <w:sz w:val="21"/>
        </w:rPr>
        <w:t>IMPORTANCE OF RESEARCH INITIATIVE</w:t>
      </w:r>
    </w:p>
    <w:p>
      <w:pPr>
        <w:pStyle w:val="BodyText"/>
        <w:rPr>
          <w:sz w:val="21"/>
        </w:rPr>
      </w:pPr>
      <w:r>
        <w:rPr>
          <w:sz w:val="21"/>
        </w:rPr>
      </w:r>
    </w:p>
    <w:p>
      <w:pPr>
        <w:pStyle w:val="BodyText"/>
        <w:rPr>
          <w:sz w:val="21"/>
        </w:rPr>
      </w:pPr>
      <w:r>
        <w:rPr>
          <w:sz w:val="21"/>
        </w:rPr>
        <w:t>Being aware of the significant resource commitments required, we have tried to be careful in articulating and incorporating five design criteria in our proposed research venture.  By satisfying each of these design criteria, we have hoped that this venture would be seen as high-potential proposition from the School’s perspective. The following summary  both reveals our most basic purposes and serves, perhaps, as a useful summary of our potential contributions.</w:t>
      </w:r>
    </w:p>
    <w:p>
      <w:pPr>
        <w:pStyle w:val="BodyText"/>
        <w:rPr>
          <w:sz w:val="21"/>
        </w:rPr>
      </w:pPr>
      <w:r>
        <w:rPr>
          <w:sz w:val="21"/>
        </w:rPr>
      </w:r>
    </w:p>
    <w:p>
      <w:pPr>
        <w:pStyle w:val="BodyText"/>
        <w:jc w:val="center"/>
        <w:rPr>
          <w:b/>
          <w:sz w:val="21"/>
          <w:u w:val="single"/>
          <w:lang w:val="en-CA"/>
        </w:rPr>
      </w:pPr>
      <w:r>
        <w:rPr>
          <w:b/>
          <w:sz w:val="21"/>
          <w:u w:val="single"/>
          <w:lang w:val="en-CA"/>
        </w:rPr>
      </w:r>
      <w:r>
        <mc:AlternateContent>
          <mc:Choice Requires="wps">
            <w:drawing>
              <wp:anchor behindDoc="0" distT="0" distB="0" distL="114935" distR="114935" simplePos="0" locked="0" layoutInCell="0" allowOverlap="1" relativeHeight="4">
                <wp:simplePos x="0" y="0"/>
                <wp:positionH relativeFrom="column">
                  <wp:posOffset>41275</wp:posOffset>
                </wp:positionH>
                <wp:positionV relativeFrom="paragraph">
                  <wp:posOffset>164465</wp:posOffset>
                </wp:positionV>
                <wp:extent cx="5495290" cy="4032250"/>
                <wp:effectExtent l="0" t="0" r="0" b="0"/>
                <wp:wrapSquare wrapText="bothSides"/>
                <wp:docPr id="1" name="Frame1"/>
                <a:graphic xmlns:a="http://schemas.openxmlformats.org/drawingml/2006/main">
                  <a:graphicData uri="http://schemas.microsoft.com/office/word/2010/wordprocessingShape">
                    <wps:wsp>
                      <wps:cNvSpPr txBox="1"/>
                      <wps:spPr>
                        <a:xfrm>
                          <a:off x="0" y="0"/>
                          <a:ext cx="5495290" cy="4032250"/>
                        </a:xfrm>
                        <a:prstGeom prst="rect"/>
                        <a:solidFill>
                          <a:srgbClr val="FFFFFF"/>
                        </a:solidFill>
                        <a:ln w="9525">
                          <a:solidFill>
                            <a:srgbClr val="000000"/>
                          </a:solidFill>
                        </a:ln>
                      </wps:spPr>
                      <wps:txbx>
                        <w:txbxContent>
                          <w:p>
                            <w:pPr>
                              <w:pStyle w:val="Heading2"/>
                              <w:ind w:hanging="0" w:start="0"/>
                              <w:rPr>
                                <w:b/>
                                <w:sz w:val="22"/>
                              </w:rPr>
                            </w:pPr>
                            <w:r>
                              <w:rPr>
                                <w:b/>
                                <w:sz w:val="22"/>
                              </w:rPr>
                            </w:r>
                          </w:p>
                          <w:p>
                            <w:pPr>
                              <w:pStyle w:val="Heading2"/>
                              <w:ind w:hanging="0" w:start="0"/>
                              <w:rPr>
                                <w:b/>
                              </w:rPr>
                            </w:pPr>
                            <w:r>
                              <w:rPr>
                                <w:b/>
                              </w:rPr>
                              <w:t>Research Impact</w:t>
                            </w:r>
                          </w:p>
                          <w:p>
                            <w:pPr>
                              <w:pStyle w:val="Normal"/>
                              <w:numPr>
                                <w:ilvl w:val="0"/>
                                <w:numId w:val="17"/>
                              </w:numPr>
                              <w:tabs>
                                <w:tab w:val="clear" w:pos="720"/>
                                <w:tab w:val="left" w:pos="1080" w:leader="none"/>
                              </w:tabs>
                              <w:spacing w:lineRule="atLeast" w:line="10"/>
                              <w:ind w:hanging="360" w:start="1080" w:end="285"/>
                              <w:rPr>
                                <w:rFonts w:ascii="Palatino" w:hAnsi="Palatino" w:eastAsia="Times New Roman" w:cs="Palatino"/>
                                <w:sz w:val="20"/>
                                <w:lang w:eastAsia="en-US"/>
                              </w:rPr>
                            </w:pPr>
                            <w:r>
                              <w:rPr>
                                <w:rFonts w:eastAsia="Times New Roman" w:cs="Palatino" w:ascii="Palatino" w:hAnsi="Palatino"/>
                                <w:sz w:val="20"/>
                                <w:lang w:eastAsia="en-US"/>
                              </w:rPr>
                              <w:t xml:space="preserve">Significant research product that </w:t>
                            </w:r>
                            <w:r>
                              <w:rPr>
                                <w:rFonts w:eastAsia="Times New Roman" w:cs="Palatino" w:ascii="Palatino" w:hAnsi="Palatino"/>
                                <w:i/>
                                <w:sz w:val="20"/>
                                <w:lang w:eastAsia="en-US"/>
                              </w:rPr>
                              <w:t>only</w:t>
                            </w:r>
                            <w:r>
                              <w:rPr>
                                <w:rFonts w:eastAsia="Times New Roman" w:cs="Palatino" w:ascii="Palatino" w:hAnsi="Palatino"/>
                                <w:sz w:val="20"/>
                                <w:lang w:eastAsia="en-US"/>
                              </w:rPr>
                              <w:t xml:space="preserve"> HBS can deliver</w:t>
                            </w:r>
                          </w:p>
                          <w:p>
                            <w:pPr>
                              <w:pStyle w:val="Normal"/>
                              <w:numPr>
                                <w:ilvl w:val="0"/>
                                <w:numId w:val="15"/>
                              </w:numPr>
                              <w:tabs>
                                <w:tab w:val="clear" w:pos="720"/>
                                <w:tab w:val="left" w:pos="1080" w:leader="none"/>
                              </w:tabs>
                              <w:spacing w:lineRule="atLeast" w:line="10"/>
                              <w:ind w:hanging="360" w:start="1080" w:end="0"/>
                              <w:rPr>
                                <w:rFonts w:ascii="Palatino" w:hAnsi="Palatino" w:eastAsia="Times New Roman" w:cs="Palatino"/>
                                <w:sz w:val="20"/>
                                <w:u w:val="single"/>
                                <w:lang w:eastAsia="en-US"/>
                              </w:rPr>
                            </w:pPr>
                            <w:r>
                              <w:rPr>
                                <w:rFonts w:eastAsia="Times New Roman" w:cs="Palatino" w:ascii="Palatino" w:hAnsi="Palatino"/>
                                <w:sz w:val="20"/>
                                <w:lang w:eastAsia="en-US"/>
                              </w:rPr>
                              <w:t xml:space="preserve">Reflecting privileged access to companies, unique clinical research skills, and resources sufficient to support a large-scope, multi-year project </w:t>
                            </w:r>
                          </w:p>
                          <w:p>
                            <w:pPr>
                              <w:pStyle w:val="Normal"/>
                              <w:spacing w:lineRule="atLeast" w:line="10"/>
                              <w:rPr>
                                <w:rFonts w:ascii="Palatino" w:hAnsi="Palatino" w:eastAsia="Times New Roman" w:cs="Palatino"/>
                                <w:sz w:val="20"/>
                                <w:u w:val="single"/>
                                <w:lang w:eastAsia="en-US"/>
                              </w:rPr>
                            </w:pPr>
                            <w:r>
                              <w:rPr>
                                <w:rFonts w:eastAsia="Times New Roman" w:cs="Palatino" w:ascii="Palatino" w:hAnsi="Palatino"/>
                                <w:sz w:val="20"/>
                                <w:u w:val="single"/>
                                <w:lang w:eastAsia="en-US"/>
                              </w:rPr>
                            </w:r>
                          </w:p>
                          <w:p>
                            <w:pPr>
                              <w:pStyle w:val="Heading2"/>
                              <w:ind w:hanging="0" w:start="0"/>
                              <w:rPr>
                                <w:b/>
                              </w:rPr>
                            </w:pPr>
                            <w:r>
                              <w:rPr>
                                <w:b/>
                              </w:rPr>
                              <w:t xml:space="preserve">MBA Curriculum Impact </w:t>
                            </w:r>
                          </w:p>
                          <w:p>
                            <w:pPr>
                              <w:pStyle w:val="Normal"/>
                              <w:numPr>
                                <w:ilvl w:val="0"/>
                                <w:numId w:val="19"/>
                              </w:numPr>
                              <w:tabs>
                                <w:tab w:val="clear" w:pos="720"/>
                                <w:tab w:val="left" w:pos="1080" w:leader="none"/>
                              </w:tabs>
                              <w:spacing w:lineRule="atLeast" w:line="10"/>
                              <w:ind w:hanging="360" w:start="1080" w:end="0"/>
                              <w:rPr>
                                <w:rFonts w:ascii="Palatino" w:hAnsi="Palatino" w:eastAsia="Times New Roman" w:cs="Palatino"/>
                                <w:sz w:val="20"/>
                                <w:lang w:eastAsia="en-US"/>
                              </w:rPr>
                            </w:pPr>
                            <w:r>
                              <w:rPr>
                                <w:rFonts w:eastAsia="Times New Roman" w:cs="Palatino" w:ascii="Palatino" w:hAnsi="Palatino"/>
                                <w:sz w:val="20"/>
                                <w:lang w:eastAsia="en-US"/>
                              </w:rPr>
                              <w:t xml:space="preserve">A renewed focus on administrative practices </w:t>
                            </w:r>
                          </w:p>
                          <w:p>
                            <w:pPr>
                              <w:pStyle w:val="Normal"/>
                              <w:numPr>
                                <w:ilvl w:val="0"/>
                                <w:numId w:val="19"/>
                              </w:numPr>
                              <w:tabs>
                                <w:tab w:val="clear" w:pos="720"/>
                                <w:tab w:val="left" w:pos="1080" w:leader="none"/>
                              </w:tabs>
                              <w:spacing w:lineRule="atLeast" w:line="10"/>
                              <w:ind w:hanging="360" w:start="1080" w:end="0"/>
                              <w:rPr>
                                <w:rFonts w:ascii="Palatino" w:hAnsi="Palatino" w:eastAsia="Times New Roman" w:cs="Palatino"/>
                                <w:sz w:val="20"/>
                                <w:lang w:eastAsia="en-US"/>
                              </w:rPr>
                            </w:pPr>
                            <w:r>
                              <w:rPr>
                                <w:rFonts w:eastAsia="Times New Roman" w:cs="Palatino" w:ascii="Palatino" w:hAnsi="Palatino"/>
                                <w:sz w:val="20"/>
                                <w:lang w:eastAsia="en-US"/>
                              </w:rPr>
                              <w:t>Seeding designated EC “platform” courses</w:t>
                            </w:r>
                          </w:p>
                          <w:p>
                            <w:pPr>
                              <w:pStyle w:val="Normal"/>
                              <w:spacing w:lineRule="atLeast" w:line="10"/>
                              <w:rPr>
                                <w:rFonts w:ascii="Palatino" w:hAnsi="Palatino" w:eastAsia="Times New Roman" w:cs="Palatino"/>
                                <w:sz w:val="20"/>
                                <w:lang w:eastAsia="en-US"/>
                              </w:rPr>
                            </w:pPr>
                            <w:r>
                              <w:rPr>
                                <w:rFonts w:eastAsia="Times New Roman" w:cs="Palatino" w:ascii="Palatino" w:hAnsi="Palatino"/>
                                <w:sz w:val="20"/>
                                <w:lang w:eastAsia="en-US"/>
                              </w:rPr>
                            </w:r>
                          </w:p>
                          <w:p>
                            <w:pPr>
                              <w:pStyle w:val="Heading2"/>
                              <w:ind w:hanging="0" w:start="0"/>
                              <w:rPr>
                                <w:b/>
                              </w:rPr>
                            </w:pPr>
                            <w:r>
                              <w:rPr>
                                <w:b/>
                              </w:rPr>
                              <w:t>Executive Education Impact</w:t>
                            </w:r>
                          </w:p>
                          <w:p>
                            <w:pPr>
                              <w:pStyle w:val="Normal"/>
                              <w:numPr>
                                <w:ilvl w:val="0"/>
                                <w:numId w:val="14"/>
                              </w:numPr>
                              <w:tabs>
                                <w:tab w:val="clear" w:pos="720"/>
                                <w:tab w:val="left" w:pos="1080" w:leader="none"/>
                              </w:tabs>
                              <w:spacing w:lineRule="atLeast" w:line="10"/>
                              <w:ind w:hanging="360" w:start="1080" w:end="0"/>
                              <w:rPr>
                                <w:rFonts w:ascii="Palatino" w:hAnsi="Palatino" w:eastAsia="Times New Roman" w:cs="Palatino"/>
                                <w:sz w:val="20"/>
                                <w:lang w:eastAsia="en-US"/>
                              </w:rPr>
                            </w:pPr>
                            <w:r>
                              <w:rPr>
                                <w:rFonts w:eastAsia="Times New Roman" w:cs="Palatino" w:ascii="Palatino" w:hAnsi="Palatino"/>
                                <w:sz w:val="20"/>
                                <w:lang w:eastAsia="en-US"/>
                              </w:rPr>
                              <w:t xml:space="preserve">CEO and senior management forums </w:t>
                            </w:r>
                          </w:p>
                          <w:p>
                            <w:pPr>
                              <w:pStyle w:val="Normal"/>
                              <w:numPr>
                                <w:ilvl w:val="0"/>
                                <w:numId w:val="14"/>
                              </w:numPr>
                              <w:tabs>
                                <w:tab w:val="clear" w:pos="720"/>
                                <w:tab w:val="left" w:pos="1080" w:leader="none"/>
                              </w:tabs>
                              <w:spacing w:lineRule="atLeast" w:line="10"/>
                              <w:ind w:hanging="360" w:start="1080" w:end="0"/>
                              <w:rPr>
                                <w:rFonts w:ascii="Palatino" w:hAnsi="Palatino" w:eastAsia="Times New Roman" w:cs="Palatino"/>
                                <w:sz w:val="20"/>
                                <w:lang w:eastAsia="en-US"/>
                              </w:rPr>
                            </w:pPr>
                            <w:r>
                              <w:rPr>
                                <w:rFonts w:eastAsia="Times New Roman" w:cs="Palatino" w:ascii="Palatino" w:hAnsi="Palatino"/>
                                <w:sz w:val="20"/>
                                <w:lang w:eastAsia="en-US"/>
                              </w:rPr>
                              <w:t>Topic-related programs</w:t>
                            </w:r>
                          </w:p>
                          <w:p>
                            <w:pPr>
                              <w:pStyle w:val="Normal"/>
                              <w:numPr>
                                <w:ilvl w:val="0"/>
                                <w:numId w:val="14"/>
                              </w:numPr>
                              <w:tabs>
                                <w:tab w:val="clear" w:pos="720"/>
                                <w:tab w:val="left" w:pos="1080" w:leader="none"/>
                              </w:tabs>
                              <w:spacing w:lineRule="atLeast" w:line="10"/>
                              <w:ind w:hanging="360" w:start="1080" w:end="0"/>
                              <w:rPr>
                                <w:rFonts w:ascii="Palatino" w:hAnsi="Palatino" w:eastAsia="Times New Roman" w:cs="Palatino"/>
                                <w:sz w:val="20"/>
                                <w:lang w:eastAsia="en-US"/>
                              </w:rPr>
                            </w:pPr>
                            <w:r>
                              <w:rPr>
                                <w:rFonts w:eastAsia="Times New Roman" w:cs="Palatino" w:ascii="Palatino" w:hAnsi="Palatino"/>
                                <w:sz w:val="20"/>
                                <w:lang w:eastAsia="en-US"/>
                              </w:rPr>
                              <w:t>Company-specific programs</w:t>
                            </w:r>
                          </w:p>
                          <w:p>
                            <w:pPr>
                              <w:pStyle w:val="Normal"/>
                              <w:spacing w:lineRule="atLeast" w:line="10"/>
                              <w:rPr>
                                <w:rFonts w:ascii="Palatino" w:hAnsi="Palatino" w:eastAsia="Times New Roman" w:cs="Palatino"/>
                                <w:sz w:val="20"/>
                                <w:lang w:eastAsia="en-US"/>
                              </w:rPr>
                            </w:pPr>
                            <w:r>
                              <w:rPr>
                                <w:rFonts w:eastAsia="Times New Roman" w:cs="Palatino" w:ascii="Palatino" w:hAnsi="Palatino"/>
                                <w:sz w:val="20"/>
                                <w:lang w:eastAsia="en-US"/>
                              </w:rPr>
                            </w:r>
                          </w:p>
                          <w:p>
                            <w:pPr>
                              <w:pStyle w:val="Heading2"/>
                              <w:ind w:hanging="0" w:start="0"/>
                              <w:rPr>
                                <w:b/>
                              </w:rPr>
                            </w:pPr>
                            <w:r>
                              <w:rPr>
                                <w:b/>
                              </w:rPr>
                              <w:t>Links with Doctoral Program</w:t>
                            </w:r>
                          </w:p>
                          <w:p>
                            <w:pPr>
                              <w:pStyle w:val="Normal"/>
                              <w:numPr>
                                <w:ilvl w:val="0"/>
                                <w:numId w:val="16"/>
                              </w:numPr>
                              <w:tabs>
                                <w:tab w:val="clear" w:pos="720"/>
                                <w:tab w:val="left" w:pos="1080" w:leader="none"/>
                              </w:tabs>
                              <w:spacing w:lineRule="atLeast" w:line="10"/>
                              <w:ind w:hanging="360" w:start="1080" w:end="0"/>
                              <w:rPr>
                                <w:rFonts w:ascii="Palatino" w:hAnsi="Palatino" w:eastAsia="Times New Roman" w:cs="Palatino"/>
                                <w:sz w:val="20"/>
                                <w:lang w:eastAsia="en-US"/>
                              </w:rPr>
                            </w:pPr>
                            <w:r>
                              <w:rPr>
                                <w:rFonts w:eastAsia="Times New Roman" w:cs="Palatino" w:ascii="Palatino" w:hAnsi="Palatino"/>
                                <w:sz w:val="20"/>
                                <w:lang w:eastAsia="en-US"/>
                              </w:rPr>
                              <w:t>Offer a clinical field research seminar linked to faculty research and associated casewriting</w:t>
                            </w:r>
                          </w:p>
                          <w:p>
                            <w:pPr>
                              <w:pStyle w:val="Normal"/>
                              <w:spacing w:lineRule="atLeast" w:line="10"/>
                              <w:rPr>
                                <w:rFonts w:ascii="Palatino" w:hAnsi="Palatino" w:eastAsia="Times New Roman" w:cs="Palatino"/>
                                <w:sz w:val="20"/>
                                <w:lang w:eastAsia="en-US"/>
                              </w:rPr>
                            </w:pPr>
                            <w:r>
                              <w:rPr>
                                <w:rFonts w:eastAsia="Times New Roman" w:cs="Palatino" w:ascii="Palatino" w:hAnsi="Palatino"/>
                                <w:sz w:val="20"/>
                                <w:lang w:eastAsia="en-US"/>
                              </w:rPr>
                            </w:r>
                          </w:p>
                          <w:p>
                            <w:pPr>
                              <w:pStyle w:val="Heading2"/>
                              <w:ind w:hanging="0" w:start="0"/>
                              <w:rPr>
                                <w:b/>
                              </w:rPr>
                            </w:pPr>
                            <w:r>
                              <w:rPr>
                                <w:b/>
                              </w:rPr>
                              <w:t>Faculty Organization</w:t>
                            </w:r>
                          </w:p>
                          <w:p>
                            <w:pPr>
                              <w:pStyle w:val="Normal"/>
                              <w:numPr>
                                <w:ilvl w:val="0"/>
                                <w:numId w:val="18"/>
                              </w:numPr>
                              <w:tabs>
                                <w:tab w:val="clear" w:pos="720"/>
                                <w:tab w:val="left" w:pos="1080" w:leader="none"/>
                              </w:tabs>
                              <w:spacing w:lineRule="atLeast" w:line="10"/>
                              <w:ind w:hanging="360" w:start="1080" w:end="0"/>
                              <w:rPr>
                                <w:rFonts w:ascii="Palatino" w:hAnsi="Palatino" w:eastAsia="Times New Roman" w:cs="Palatino"/>
                                <w:sz w:val="20"/>
                                <w:lang w:eastAsia="en-US"/>
                              </w:rPr>
                            </w:pPr>
                            <w:r>
                              <w:rPr>
                                <w:rFonts w:eastAsia="Times New Roman" w:cs="Palatino" w:ascii="Palatino" w:hAnsi="Palatino"/>
                                <w:sz w:val="20"/>
                                <w:lang w:eastAsia="en-US"/>
                              </w:rPr>
                              <w:t>A vehicle for consolidating some (but not necessarily all) members of old GM Faculty Unit</w:t>
                            </w:r>
                          </w:p>
                          <w:p>
                            <w:pPr>
                              <w:pStyle w:val="Normal"/>
                              <w:numPr>
                                <w:ilvl w:val="0"/>
                                <w:numId w:val="13"/>
                              </w:numPr>
                              <w:tabs>
                                <w:tab w:val="clear" w:pos="720"/>
                                <w:tab w:val="left" w:pos="1080" w:leader="none"/>
                              </w:tabs>
                              <w:spacing w:lineRule="atLeast" w:line="10"/>
                              <w:ind w:hanging="360" w:start="1080" w:end="0"/>
                              <w:rPr>
                                <w:rFonts w:ascii="Palatino" w:hAnsi="Palatino" w:cs="Palatino"/>
                                <w:b/>
                                <w:sz w:val="20"/>
                                <w:u w:val="single"/>
                              </w:rPr>
                            </w:pPr>
                            <w:r>
                              <w:rPr>
                                <w:rFonts w:cs="Palatino" w:ascii="Palatino" w:hAnsi="Palatino"/>
                                <w:sz w:val="20"/>
                                <w:lang w:eastAsia="en-US"/>
                              </w:rPr>
                              <w:t xml:space="preserve">A means for engaging interested junior faculty in “best-of class,” administratively-oriented clinical research </w:t>
                            </w:r>
                          </w:p>
                          <w:p>
                            <w:pPr>
                              <w:pStyle w:val="Header"/>
                              <w:tabs>
                                <w:tab w:val="clear" w:pos="4320"/>
                                <w:tab w:val="clear" w:pos="8640"/>
                              </w:tabs>
                              <w:rPr>
                                <w:rFonts w:ascii="Palatino" w:hAnsi="Palatino" w:cs="Palatino"/>
                                <w:b/>
                                <w:sz w:val="20"/>
                                <w:u w:val="single"/>
                              </w:rPr>
                            </w:pPr>
                            <w:r>
                              <w:rPr>
                                <w:rFonts w:cs="Palatino" w:ascii="Palatino" w:hAnsi="Palatino"/>
                                <w:b/>
                                <w:sz w:val="20"/>
                                <w:u w:val="single"/>
                              </w:rPr>
                            </w:r>
                          </w:p>
                        </w:txbxContent>
                      </wps:txbx>
                      <wps:bodyPr anchor="t" lIns="91440" tIns="45720" rIns="91440" bIns="45720">
                        <a:noAutofit/>
                      </wps:bodyPr>
                    </wps:wsp>
                  </a:graphicData>
                </a:graphic>
              </wp:anchor>
            </w:drawing>
          </mc:Choice>
          <mc:Fallback>
            <w:pict>
              <v:rect fillcolor="#FFFFFF" strokecolor="#000000" strokeweight="0pt" style="position:absolute;rotation:-0;width:432.7pt;height:317.5pt;mso-wrap-distance-left:9.05pt;mso-wrap-distance-right:9.05pt;mso-wrap-distance-top:0pt;mso-wrap-distance-bottom:0pt;margin-top:12.95pt;mso-position-vertical-relative:text;margin-left:3.25pt;mso-position-horizontal-relative:text">
                <v:textbox>
                  <w:txbxContent>
                    <w:p>
                      <w:pPr>
                        <w:pStyle w:val="Heading2"/>
                        <w:ind w:hanging="0" w:start="0"/>
                        <w:rPr>
                          <w:b/>
                          <w:sz w:val="22"/>
                        </w:rPr>
                      </w:pPr>
                      <w:r>
                        <w:rPr>
                          <w:b/>
                          <w:sz w:val="22"/>
                        </w:rPr>
                      </w:r>
                    </w:p>
                    <w:p>
                      <w:pPr>
                        <w:pStyle w:val="Heading2"/>
                        <w:ind w:hanging="0" w:start="0"/>
                        <w:rPr>
                          <w:b/>
                        </w:rPr>
                      </w:pPr>
                      <w:r>
                        <w:rPr>
                          <w:b/>
                        </w:rPr>
                        <w:t>Research Impact</w:t>
                      </w:r>
                    </w:p>
                    <w:p>
                      <w:pPr>
                        <w:pStyle w:val="Normal"/>
                        <w:numPr>
                          <w:ilvl w:val="0"/>
                          <w:numId w:val="17"/>
                        </w:numPr>
                        <w:tabs>
                          <w:tab w:val="clear" w:pos="720"/>
                          <w:tab w:val="left" w:pos="1080" w:leader="none"/>
                        </w:tabs>
                        <w:spacing w:lineRule="atLeast" w:line="10"/>
                        <w:ind w:hanging="360" w:start="1080" w:end="285"/>
                        <w:rPr>
                          <w:rFonts w:ascii="Palatino" w:hAnsi="Palatino" w:eastAsia="Times New Roman" w:cs="Palatino"/>
                          <w:sz w:val="20"/>
                          <w:lang w:eastAsia="en-US"/>
                        </w:rPr>
                      </w:pPr>
                      <w:r>
                        <w:rPr>
                          <w:rFonts w:eastAsia="Times New Roman" w:cs="Palatino" w:ascii="Palatino" w:hAnsi="Palatino"/>
                          <w:sz w:val="20"/>
                          <w:lang w:eastAsia="en-US"/>
                        </w:rPr>
                        <w:t xml:space="preserve">Significant research product that </w:t>
                      </w:r>
                      <w:r>
                        <w:rPr>
                          <w:rFonts w:eastAsia="Times New Roman" w:cs="Palatino" w:ascii="Palatino" w:hAnsi="Palatino"/>
                          <w:i/>
                          <w:sz w:val="20"/>
                          <w:lang w:eastAsia="en-US"/>
                        </w:rPr>
                        <w:t>only</w:t>
                      </w:r>
                      <w:r>
                        <w:rPr>
                          <w:rFonts w:eastAsia="Times New Roman" w:cs="Palatino" w:ascii="Palatino" w:hAnsi="Palatino"/>
                          <w:sz w:val="20"/>
                          <w:lang w:eastAsia="en-US"/>
                        </w:rPr>
                        <w:t xml:space="preserve"> HBS can deliver</w:t>
                      </w:r>
                    </w:p>
                    <w:p>
                      <w:pPr>
                        <w:pStyle w:val="Normal"/>
                        <w:numPr>
                          <w:ilvl w:val="0"/>
                          <w:numId w:val="15"/>
                        </w:numPr>
                        <w:tabs>
                          <w:tab w:val="clear" w:pos="720"/>
                          <w:tab w:val="left" w:pos="1080" w:leader="none"/>
                        </w:tabs>
                        <w:spacing w:lineRule="atLeast" w:line="10"/>
                        <w:ind w:hanging="360" w:start="1080" w:end="0"/>
                        <w:rPr>
                          <w:rFonts w:ascii="Palatino" w:hAnsi="Palatino" w:eastAsia="Times New Roman" w:cs="Palatino"/>
                          <w:sz w:val="20"/>
                          <w:u w:val="single"/>
                          <w:lang w:eastAsia="en-US"/>
                        </w:rPr>
                      </w:pPr>
                      <w:r>
                        <w:rPr>
                          <w:rFonts w:eastAsia="Times New Roman" w:cs="Palatino" w:ascii="Palatino" w:hAnsi="Palatino"/>
                          <w:sz w:val="20"/>
                          <w:lang w:eastAsia="en-US"/>
                        </w:rPr>
                        <w:t xml:space="preserve">Reflecting privileged access to companies, unique clinical research skills, and resources sufficient to support a large-scope, multi-year project </w:t>
                      </w:r>
                    </w:p>
                    <w:p>
                      <w:pPr>
                        <w:pStyle w:val="Normal"/>
                        <w:spacing w:lineRule="atLeast" w:line="10"/>
                        <w:rPr>
                          <w:rFonts w:ascii="Palatino" w:hAnsi="Palatino" w:eastAsia="Times New Roman" w:cs="Palatino"/>
                          <w:sz w:val="20"/>
                          <w:u w:val="single"/>
                          <w:lang w:eastAsia="en-US"/>
                        </w:rPr>
                      </w:pPr>
                      <w:r>
                        <w:rPr>
                          <w:rFonts w:eastAsia="Times New Roman" w:cs="Palatino" w:ascii="Palatino" w:hAnsi="Palatino"/>
                          <w:sz w:val="20"/>
                          <w:u w:val="single"/>
                          <w:lang w:eastAsia="en-US"/>
                        </w:rPr>
                      </w:r>
                    </w:p>
                    <w:p>
                      <w:pPr>
                        <w:pStyle w:val="Heading2"/>
                        <w:ind w:hanging="0" w:start="0"/>
                        <w:rPr>
                          <w:b/>
                        </w:rPr>
                      </w:pPr>
                      <w:r>
                        <w:rPr>
                          <w:b/>
                        </w:rPr>
                        <w:t xml:space="preserve">MBA Curriculum Impact </w:t>
                      </w:r>
                    </w:p>
                    <w:p>
                      <w:pPr>
                        <w:pStyle w:val="Normal"/>
                        <w:numPr>
                          <w:ilvl w:val="0"/>
                          <w:numId w:val="19"/>
                        </w:numPr>
                        <w:tabs>
                          <w:tab w:val="clear" w:pos="720"/>
                          <w:tab w:val="left" w:pos="1080" w:leader="none"/>
                        </w:tabs>
                        <w:spacing w:lineRule="atLeast" w:line="10"/>
                        <w:ind w:hanging="360" w:start="1080" w:end="0"/>
                        <w:rPr>
                          <w:rFonts w:ascii="Palatino" w:hAnsi="Palatino" w:eastAsia="Times New Roman" w:cs="Palatino"/>
                          <w:sz w:val="20"/>
                          <w:lang w:eastAsia="en-US"/>
                        </w:rPr>
                      </w:pPr>
                      <w:r>
                        <w:rPr>
                          <w:rFonts w:eastAsia="Times New Roman" w:cs="Palatino" w:ascii="Palatino" w:hAnsi="Palatino"/>
                          <w:sz w:val="20"/>
                          <w:lang w:eastAsia="en-US"/>
                        </w:rPr>
                        <w:t xml:space="preserve">A renewed focus on administrative practices </w:t>
                      </w:r>
                    </w:p>
                    <w:p>
                      <w:pPr>
                        <w:pStyle w:val="Normal"/>
                        <w:numPr>
                          <w:ilvl w:val="0"/>
                          <w:numId w:val="19"/>
                        </w:numPr>
                        <w:tabs>
                          <w:tab w:val="clear" w:pos="720"/>
                          <w:tab w:val="left" w:pos="1080" w:leader="none"/>
                        </w:tabs>
                        <w:spacing w:lineRule="atLeast" w:line="10"/>
                        <w:ind w:hanging="360" w:start="1080" w:end="0"/>
                        <w:rPr>
                          <w:rFonts w:ascii="Palatino" w:hAnsi="Palatino" w:eastAsia="Times New Roman" w:cs="Palatino"/>
                          <w:sz w:val="20"/>
                          <w:lang w:eastAsia="en-US"/>
                        </w:rPr>
                      </w:pPr>
                      <w:r>
                        <w:rPr>
                          <w:rFonts w:eastAsia="Times New Roman" w:cs="Palatino" w:ascii="Palatino" w:hAnsi="Palatino"/>
                          <w:sz w:val="20"/>
                          <w:lang w:eastAsia="en-US"/>
                        </w:rPr>
                        <w:t>Seeding designated EC “platform” courses</w:t>
                      </w:r>
                    </w:p>
                    <w:p>
                      <w:pPr>
                        <w:pStyle w:val="Normal"/>
                        <w:spacing w:lineRule="atLeast" w:line="10"/>
                        <w:rPr>
                          <w:rFonts w:ascii="Palatino" w:hAnsi="Palatino" w:eastAsia="Times New Roman" w:cs="Palatino"/>
                          <w:sz w:val="20"/>
                          <w:lang w:eastAsia="en-US"/>
                        </w:rPr>
                      </w:pPr>
                      <w:r>
                        <w:rPr>
                          <w:rFonts w:eastAsia="Times New Roman" w:cs="Palatino" w:ascii="Palatino" w:hAnsi="Palatino"/>
                          <w:sz w:val="20"/>
                          <w:lang w:eastAsia="en-US"/>
                        </w:rPr>
                      </w:r>
                    </w:p>
                    <w:p>
                      <w:pPr>
                        <w:pStyle w:val="Heading2"/>
                        <w:ind w:hanging="0" w:start="0"/>
                        <w:rPr>
                          <w:b/>
                        </w:rPr>
                      </w:pPr>
                      <w:r>
                        <w:rPr>
                          <w:b/>
                        </w:rPr>
                        <w:t>Executive Education Impact</w:t>
                      </w:r>
                    </w:p>
                    <w:p>
                      <w:pPr>
                        <w:pStyle w:val="Normal"/>
                        <w:numPr>
                          <w:ilvl w:val="0"/>
                          <w:numId w:val="14"/>
                        </w:numPr>
                        <w:tabs>
                          <w:tab w:val="clear" w:pos="720"/>
                          <w:tab w:val="left" w:pos="1080" w:leader="none"/>
                        </w:tabs>
                        <w:spacing w:lineRule="atLeast" w:line="10"/>
                        <w:ind w:hanging="360" w:start="1080" w:end="0"/>
                        <w:rPr>
                          <w:rFonts w:ascii="Palatino" w:hAnsi="Palatino" w:eastAsia="Times New Roman" w:cs="Palatino"/>
                          <w:sz w:val="20"/>
                          <w:lang w:eastAsia="en-US"/>
                        </w:rPr>
                      </w:pPr>
                      <w:r>
                        <w:rPr>
                          <w:rFonts w:eastAsia="Times New Roman" w:cs="Palatino" w:ascii="Palatino" w:hAnsi="Palatino"/>
                          <w:sz w:val="20"/>
                          <w:lang w:eastAsia="en-US"/>
                        </w:rPr>
                        <w:t xml:space="preserve">CEO and senior management forums </w:t>
                      </w:r>
                    </w:p>
                    <w:p>
                      <w:pPr>
                        <w:pStyle w:val="Normal"/>
                        <w:numPr>
                          <w:ilvl w:val="0"/>
                          <w:numId w:val="14"/>
                        </w:numPr>
                        <w:tabs>
                          <w:tab w:val="clear" w:pos="720"/>
                          <w:tab w:val="left" w:pos="1080" w:leader="none"/>
                        </w:tabs>
                        <w:spacing w:lineRule="atLeast" w:line="10"/>
                        <w:ind w:hanging="360" w:start="1080" w:end="0"/>
                        <w:rPr>
                          <w:rFonts w:ascii="Palatino" w:hAnsi="Palatino" w:eastAsia="Times New Roman" w:cs="Palatino"/>
                          <w:sz w:val="20"/>
                          <w:lang w:eastAsia="en-US"/>
                        </w:rPr>
                      </w:pPr>
                      <w:r>
                        <w:rPr>
                          <w:rFonts w:eastAsia="Times New Roman" w:cs="Palatino" w:ascii="Palatino" w:hAnsi="Palatino"/>
                          <w:sz w:val="20"/>
                          <w:lang w:eastAsia="en-US"/>
                        </w:rPr>
                        <w:t>Topic-related programs</w:t>
                      </w:r>
                    </w:p>
                    <w:p>
                      <w:pPr>
                        <w:pStyle w:val="Normal"/>
                        <w:numPr>
                          <w:ilvl w:val="0"/>
                          <w:numId w:val="14"/>
                        </w:numPr>
                        <w:tabs>
                          <w:tab w:val="clear" w:pos="720"/>
                          <w:tab w:val="left" w:pos="1080" w:leader="none"/>
                        </w:tabs>
                        <w:spacing w:lineRule="atLeast" w:line="10"/>
                        <w:ind w:hanging="360" w:start="1080" w:end="0"/>
                        <w:rPr>
                          <w:rFonts w:ascii="Palatino" w:hAnsi="Palatino" w:eastAsia="Times New Roman" w:cs="Palatino"/>
                          <w:sz w:val="20"/>
                          <w:lang w:eastAsia="en-US"/>
                        </w:rPr>
                      </w:pPr>
                      <w:r>
                        <w:rPr>
                          <w:rFonts w:eastAsia="Times New Roman" w:cs="Palatino" w:ascii="Palatino" w:hAnsi="Palatino"/>
                          <w:sz w:val="20"/>
                          <w:lang w:eastAsia="en-US"/>
                        </w:rPr>
                        <w:t>Company-specific programs</w:t>
                      </w:r>
                    </w:p>
                    <w:p>
                      <w:pPr>
                        <w:pStyle w:val="Normal"/>
                        <w:spacing w:lineRule="atLeast" w:line="10"/>
                        <w:rPr>
                          <w:rFonts w:ascii="Palatino" w:hAnsi="Palatino" w:eastAsia="Times New Roman" w:cs="Palatino"/>
                          <w:sz w:val="20"/>
                          <w:lang w:eastAsia="en-US"/>
                        </w:rPr>
                      </w:pPr>
                      <w:r>
                        <w:rPr>
                          <w:rFonts w:eastAsia="Times New Roman" w:cs="Palatino" w:ascii="Palatino" w:hAnsi="Palatino"/>
                          <w:sz w:val="20"/>
                          <w:lang w:eastAsia="en-US"/>
                        </w:rPr>
                      </w:r>
                    </w:p>
                    <w:p>
                      <w:pPr>
                        <w:pStyle w:val="Heading2"/>
                        <w:ind w:hanging="0" w:start="0"/>
                        <w:rPr>
                          <w:b/>
                        </w:rPr>
                      </w:pPr>
                      <w:r>
                        <w:rPr>
                          <w:b/>
                        </w:rPr>
                        <w:t>Links with Doctoral Program</w:t>
                      </w:r>
                    </w:p>
                    <w:p>
                      <w:pPr>
                        <w:pStyle w:val="Normal"/>
                        <w:numPr>
                          <w:ilvl w:val="0"/>
                          <w:numId w:val="16"/>
                        </w:numPr>
                        <w:tabs>
                          <w:tab w:val="clear" w:pos="720"/>
                          <w:tab w:val="left" w:pos="1080" w:leader="none"/>
                        </w:tabs>
                        <w:spacing w:lineRule="atLeast" w:line="10"/>
                        <w:ind w:hanging="360" w:start="1080" w:end="0"/>
                        <w:rPr>
                          <w:rFonts w:ascii="Palatino" w:hAnsi="Palatino" w:eastAsia="Times New Roman" w:cs="Palatino"/>
                          <w:sz w:val="20"/>
                          <w:lang w:eastAsia="en-US"/>
                        </w:rPr>
                      </w:pPr>
                      <w:r>
                        <w:rPr>
                          <w:rFonts w:eastAsia="Times New Roman" w:cs="Palatino" w:ascii="Palatino" w:hAnsi="Palatino"/>
                          <w:sz w:val="20"/>
                          <w:lang w:eastAsia="en-US"/>
                        </w:rPr>
                        <w:t>Offer a clinical field research seminar linked to faculty research and associated casewriting</w:t>
                      </w:r>
                    </w:p>
                    <w:p>
                      <w:pPr>
                        <w:pStyle w:val="Normal"/>
                        <w:spacing w:lineRule="atLeast" w:line="10"/>
                        <w:rPr>
                          <w:rFonts w:ascii="Palatino" w:hAnsi="Palatino" w:eastAsia="Times New Roman" w:cs="Palatino"/>
                          <w:sz w:val="20"/>
                          <w:lang w:eastAsia="en-US"/>
                        </w:rPr>
                      </w:pPr>
                      <w:r>
                        <w:rPr>
                          <w:rFonts w:eastAsia="Times New Roman" w:cs="Palatino" w:ascii="Palatino" w:hAnsi="Palatino"/>
                          <w:sz w:val="20"/>
                          <w:lang w:eastAsia="en-US"/>
                        </w:rPr>
                      </w:r>
                    </w:p>
                    <w:p>
                      <w:pPr>
                        <w:pStyle w:val="Heading2"/>
                        <w:ind w:hanging="0" w:start="0"/>
                        <w:rPr>
                          <w:b/>
                        </w:rPr>
                      </w:pPr>
                      <w:r>
                        <w:rPr>
                          <w:b/>
                        </w:rPr>
                        <w:t>Faculty Organization</w:t>
                      </w:r>
                    </w:p>
                    <w:p>
                      <w:pPr>
                        <w:pStyle w:val="Normal"/>
                        <w:numPr>
                          <w:ilvl w:val="0"/>
                          <w:numId w:val="18"/>
                        </w:numPr>
                        <w:tabs>
                          <w:tab w:val="clear" w:pos="720"/>
                          <w:tab w:val="left" w:pos="1080" w:leader="none"/>
                        </w:tabs>
                        <w:spacing w:lineRule="atLeast" w:line="10"/>
                        <w:ind w:hanging="360" w:start="1080" w:end="0"/>
                        <w:rPr>
                          <w:rFonts w:ascii="Palatino" w:hAnsi="Palatino" w:eastAsia="Times New Roman" w:cs="Palatino"/>
                          <w:sz w:val="20"/>
                          <w:lang w:eastAsia="en-US"/>
                        </w:rPr>
                      </w:pPr>
                      <w:r>
                        <w:rPr>
                          <w:rFonts w:eastAsia="Times New Roman" w:cs="Palatino" w:ascii="Palatino" w:hAnsi="Palatino"/>
                          <w:sz w:val="20"/>
                          <w:lang w:eastAsia="en-US"/>
                        </w:rPr>
                        <w:t>A vehicle for consolidating some (but not necessarily all) members of old GM Faculty Unit</w:t>
                      </w:r>
                    </w:p>
                    <w:p>
                      <w:pPr>
                        <w:pStyle w:val="Normal"/>
                        <w:numPr>
                          <w:ilvl w:val="0"/>
                          <w:numId w:val="13"/>
                        </w:numPr>
                        <w:tabs>
                          <w:tab w:val="clear" w:pos="720"/>
                          <w:tab w:val="left" w:pos="1080" w:leader="none"/>
                        </w:tabs>
                        <w:spacing w:lineRule="atLeast" w:line="10"/>
                        <w:ind w:hanging="360" w:start="1080" w:end="0"/>
                        <w:rPr>
                          <w:rFonts w:ascii="Palatino" w:hAnsi="Palatino" w:cs="Palatino"/>
                          <w:b/>
                          <w:sz w:val="20"/>
                          <w:u w:val="single"/>
                        </w:rPr>
                      </w:pPr>
                      <w:r>
                        <w:rPr>
                          <w:rFonts w:cs="Palatino" w:ascii="Palatino" w:hAnsi="Palatino"/>
                          <w:sz w:val="20"/>
                          <w:lang w:eastAsia="en-US"/>
                        </w:rPr>
                        <w:t xml:space="preserve">A means for engaging interested junior faculty in “best-of class,” administratively-oriented clinical research </w:t>
                      </w:r>
                    </w:p>
                    <w:p>
                      <w:pPr>
                        <w:pStyle w:val="Header"/>
                        <w:tabs>
                          <w:tab w:val="clear" w:pos="4320"/>
                          <w:tab w:val="clear" w:pos="8640"/>
                        </w:tabs>
                        <w:rPr>
                          <w:rFonts w:ascii="Palatino" w:hAnsi="Palatino" w:cs="Palatino"/>
                          <w:b/>
                          <w:sz w:val="20"/>
                          <w:u w:val="single"/>
                        </w:rPr>
                      </w:pPr>
                      <w:r>
                        <w:rPr>
                          <w:rFonts w:cs="Palatino" w:ascii="Palatino" w:hAnsi="Palatino"/>
                          <w:b/>
                          <w:sz w:val="20"/>
                          <w:u w:val="single"/>
                        </w:rPr>
                      </w:r>
                    </w:p>
                  </w:txbxContent>
                </v:textbox>
                <w10:wrap type="square"/>
              </v:rect>
            </w:pict>
          </mc:Fallback>
        </mc:AlternateContent>
      </w:r>
      <w:r>
        <mc:AlternateContent>
          <mc:Choice Requires="wps">
            <w:drawing>
              <wp:anchor behindDoc="0" distT="0" distB="0" distL="114935" distR="114935" simplePos="0" locked="0" layoutInCell="1" allowOverlap="1" relativeHeight="5">
                <wp:simplePos x="0" y="0"/>
                <wp:positionH relativeFrom="column">
                  <wp:posOffset>41275</wp:posOffset>
                </wp:positionH>
                <wp:positionV relativeFrom="paragraph">
                  <wp:posOffset>97790</wp:posOffset>
                </wp:positionV>
                <wp:extent cx="5495290" cy="283210"/>
                <wp:effectExtent l="0" t="0" r="0" b="0"/>
                <wp:wrapNone/>
                <wp:docPr id="2" name="Frame2"/>
                <a:graphic xmlns:a="http://schemas.openxmlformats.org/drawingml/2006/main">
                  <a:graphicData uri="http://schemas.microsoft.com/office/word/2010/wordprocessingShape">
                    <wps:wsp>
                      <wps:cNvSpPr txBox="1"/>
                      <wps:spPr>
                        <a:xfrm>
                          <a:off x="0" y="0"/>
                          <a:ext cx="5495290" cy="283210"/>
                        </a:xfrm>
                        <a:prstGeom prst="rect"/>
                        <a:solidFill>
                          <a:srgbClr val="FFFFFF"/>
                        </a:solidFill>
                        <a:ln w="9525">
                          <a:solidFill>
                            <a:srgbClr val="000000"/>
                          </a:solidFill>
                        </a:ln>
                      </wps:spPr>
                      <wps:txbx>
                        <w:txbxContent>
                          <w:p>
                            <w:pPr>
                              <w:pStyle w:val="Heading3"/>
                              <w:ind w:hanging="0" w:start="0" w:end="285"/>
                              <w:rPr>
                                <w:rFonts w:ascii="Palatino" w:hAnsi="Palatino" w:cs="Palatino"/>
                                <w:sz w:val="20"/>
                              </w:rPr>
                            </w:pPr>
                            <w:r>
                              <w:rPr>
                                <w:rFonts w:cs="Palatino" w:ascii="Palatino" w:hAnsi="Palatino"/>
                                <w:sz w:val="20"/>
                              </w:rPr>
                              <w:t>Design Criteria for Proposed Research Initiative</w:t>
                            </w:r>
                          </w:p>
                        </w:txbxContent>
                      </wps:txbx>
                      <wps:bodyPr anchor="t" lIns="91440" tIns="45720" rIns="91440" bIns="45720">
                        <a:noAutofit/>
                      </wps:bodyPr>
                    </wps:wsp>
                  </a:graphicData>
                </a:graphic>
              </wp:anchor>
            </w:drawing>
          </mc:Choice>
          <mc:Fallback>
            <w:pict>
              <v:rect fillcolor="#FFFFFF" strokecolor="#000000" strokeweight="0pt" style="position:absolute;rotation:-0;width:432.7pt;height:22.3pt;mso-wrap-distance-left:9.05pt;mso-wrap-distance-right:9.05pt;mso-wrap-distance-top:0pt;mso-wrap-distance-bottom:0pt;margin-top:7.7pt;mso-position-vertical-relative:text;margin-left:3.25pt;mso-position-horizontal-relative:text">
                <v:textbox>
                  <w:txbxContent>
                    <w:p>
                      <w:pPr>
                        <w:pStyle w:val="Heading3"/>
                        <w:ind w:hanging="0" w:start="0" w:end="285"/>
                        <w:rPr>
                          <w:rFonts w:ascii="Palatino" w:hAnsi="Palatino" w:cs="Palatino"/>
                          <w:sz w:val="20"/>
                        </w:rPr>
                      </w:pPr>
                      <w:r>
                        <w:rPr>
                          <w:rFonts w:cs="Palatino" w:ascii="Palatino" w:hAnsi="Palatino"/>
                          <w:sz w:val="20"/>
                        </w:rPr>
                        <w:t>Design Criteria for Proposed Research Initiative</w:t>
                      </w:r>
                    </w:p>
                  </w:txbxContent>
                </v:textbox>
                <w10:wrap type="none"/>
              </v:rect>
            </w:pict>
          </mc:Fallback>
        </mc:AlternateContent>
      </w:r>
    </w:p>
    <w:sectPr>
      <w:headerReference w:type="default" r:id="rId2"/>
      <w:headerReference w:type="first" r:id="rId3"/>
      <w:footerReference w:type="default" r:id="rId4"/>
      <w:footerReference w:type="first" r:id="rId5"/>
      <w:type w:val="nextPage"/>
      <w:pgSz w:w="12240" w:h="15840"/>
      <w:pgMar w:left="1800" w:right="1800" w:gutter="0" w:header="720" w:top="1080"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Palatino">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Palatino" w:hAnsi="Palatino" w:cs="Palatino"/>
        <w:sz w:val="16"/>
      </w:rPr>
    </w:pPr>
    <w:r>
      <w:rPr>
        <w:rFonts w:cs="Palatino" w:ascii="Palatino" w:hAnsi="Palatino"/>
        <w:sz w:val="16"/>
      </w:rPr>
    </w:r>
    <w:r>
      <mc:AlternateContent>
        <mc:Choice Requires="wps">
          <w:drawing>
            <wp:anchor behindDoc="0" distT="0" distB="0" distL="0" distR="0" simplePos="0" locked="0" layoutInCell="0" allowOverlap="1" relativeHeight="3">
              <wp:simplePos x="0" y="0"/>
              <wp:positionH relativeFrom="margin">
                <wp:align>right</wp:align>
              </wp:positionH>
              <wp:positionV relativeFrom="paragraph">
                <wp:posOffset>635</wp:posOffset>
              </wp:positionV>
              <wp:extent cx="14605" cy="175260"/>
              <wp:effectExtent l="0" t="0" r="0" b="0"/>
              <wp:wrapSquare wrapText="bothSides"/>
              <wp:docPr id="3" name="Frame3"/>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430.85pt;mso-position-horizontal:right;mso-position-horizontal-relative:margin">
              <v:fill opacity="0f"/>
              <v:textbox inset="0in,0in,0in,0in">
                <w:txbxContent>
                  <w:p>
                    <w:pPr>
                      <w:pStyle w:val="Footer"/>
                      <w:rPr>
                        <w:rStyle w:val="PageNumber"/>
                      </w:rPr>
                    </w:pPr>
                    <w:r>
                      <w:rPr/>
                    </w:r>
                  </w:p>
                </w:txbxContent>
              </v:textbox>
              <w10:wrap type="square"/>
            </v:rect>
          </w:pict>
        </mc:Fallback>
      </mc:AlternateContent>
    </w:r>
  </w:p>
  <w:p>
    <w:pPr>
      <w:pStyle w:val="Footer"/>
      <w:rPr>
        <w:rFonts w:ascii="Palatino" w:hAnsi="Palatino" w:cs="Palatino"/>
        <w:sz w:val="16"/>
      </w:rPr>
    </w:pPr>
    <w:r>
      <w:rPr>
        <w:rFonts w:cs="Palatino" w:ascii="Palatino" w:hAnsi="Palatino"/>
        <w:sz w:val="16"/>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Fonts w:cs="Palatino" w:ascii="Palatino" w:hAnsi="Palatino"/>
        <w:sz w:val="22"/>
      </w:rPr>
      <w:tab/>
    </w:r>
    <w:r>
      <w:rPr>
        <w:rFonts w:cs="Palatino" w:ascii="Palatino" w:hAnsi="Palatino"/>
        <w:sz w:val="20"/>
      </w:rPr>
      <w:t xml:space="preserve">- </w:t>
    </w:r>
    <w:r>
      <w:rPr>
        <w:rStyle w:val="PageNumber"/>
        <w:rFonts w:cs="Palatino" w:ascii="Palatino" w:hAnsi="Palatino"/>
        <w:sz w:val="20"/>
      </w:rPr>
      <w:fldChar w:fldCharType="begin"/>
    </w:r>
    <w:r>
      <w:rPr>
        <w:rStyle w:val="PageNumber"/>
        <w:sz w:val="20"/>
        <w:rFonts w:cs="Palatino" w:ascii="Palatino" w:hAnsi="Palatino"/>
      </w:rPr>
      <w:instrText xml:space="preserve"> PAGE </w:instrText>
    </w:r>
    <w:r>
      <w:rPr>
        <w:rStyle w:val="PageNumber"/>
        <w:sz w:val="20"/>
        <w:rFonts w:cs="Palatino" w:ascii="Palatino" w:hAnsi="Palatino"/>
      </w:rPr>
      <w:fldChar w:fldCharType="separate"/>
    </w:r>
    <w:r>
      <w:rPr>
        <w:rStyle w:val="PageNumber"/>
        <w:sz w:val="20"/>
        <w:rFonts w:cs="Palatino" w:ascii="Palatino" w:hAnsi="Palatino"/>
      </w:rPr>
      <w:t>3</w:t>
    </w:r>
    <w:r>
      <w:rPr>
        <w:rStyle w:val="PageNumber"/>
        <w:sz w:val="20"/>
        <w:rFonts w:cs="Palatino" w:ascii="Palatino" w:hAnsi="Palatino"/>
      </w:rPr>
      <w:fldChar w:fldCharType="end"/>
    </w:r>
    <w:r>
      <w:rPr>
        <w:rStyle w:val="PageNumber"/>
        <w:rFonts w:cs="Palatino" w:ascii="Palatino" w:hAnsi="Palatino"/>
        <w:sz w:val="20"/>
      </w:rPr>
      <w:t xml:space="preserve"> -</w:t>
    </w:r>
    <w:r>
      <w:rPr>
        <w:rFonts w:cs="Palatino" w:ascii="Palatino" w:hAnsi="Palatino"/>
        <w:sz w:val="20"/>
      </w:rPr>
      <w:tab/>
    </w:r>
  </w:p>
  <w:p>
    <w:pPr>
      <w:pStyle w:val="Header"/>
      <w:rPr>
        <w:rFonts w:ascii="Palatino" w:hAnsi="Palatino" w:cs="Palatino"/>
        <w:sz w:val="22"/>
      </w:rPr>
    </w:pPr>
    <w:r>
      <w:rPr>
        <w:rFonts w:cs="Palatino" w:ascii="Palatino" w:hAnsi="Palatino"/>
        <w:sz w:val="22"/>
      </w:rPr>
    </w:r>
  </w:p>
  <w:p>
    <w:pPr>
      <w:pStyle w:val="Header"/>
      <w:rPr>
        <w:rFonts w:ascii="Palatino" w:hAnsi="Palatino" w:cs="Palatino"/>
        <w:sz w:val="22"/>
      </w:rPr>
    </w:pPr>
    <w:r>
      <w:rPr>
        <w:rFonts w:cs="Palatino" w:ascii="Palatino" w:hAnsi="Palatino"/>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bullet"/>
      <w:lvlText w:val=""/>
      <w:lvlJc w:val="start"/>
      <w:pPr>
        <w:tabs>
          <w:tab w:val="num" w:pos="360"/>
        </w:tabs>
        <w:ind w:start="360" w:hanging="360"/>
      </w:pPr>
      <w:rPr>
        <w:rFonts w:ascii="Symbol" w:hAnsi="Symbol" w:cs="Symbol" w:hint="default"/>
      </w:rPr>
    </w:lvl>
  </w:abstractNum>
  <w:abstractNum w:abstractNumId="13">
    <w:lvl w:ilvl="0">
      <w:start w:val="1"/>
      <w:numFmt w:val="bullet"/>
      <w:lvlText w:val=""/>
      <w:lvlJc w:val="start"/>
      <w:pPr>
        <w:tabs>
          <w:tab w:val="num" w:pos="360"/>
        </w:tabs>
        <w:ind w:start="360" w:hanging="360"/>
      </w:pPr>
      <w:rPr>
        <w:rFonts w:ascii="Symbol" w:hAnsi="Symbol" w:cs="Symbol" w:hint="default"/>
      </w:rPr>
    </w:lvl>
  </w:abstractNum>
  <w:abstractNum w:abstractNumId="14">
    <w:lvl w:ilvl="0">
      <w:start w:val="1"/>
      <w:numFmt w:val="bullet"/>
      <w:lvlText w:val=""/>
      <w:lvlJc w:val="start"/>
      <w:pPr>
        <w:tabs>
          <w:tab w:val="num" w:pos="360"/>
        </w:tabs>
        <w:ind w:start="360" w:hanging="360"/>
      </w:pPr>
      <w:rPr>
        <w:rFonts w:ascii="Symbol" w:hAnsi="Symbol" w:cs="Symbol" w:hint="default"/>
      </w:rPr>
    </w:lvl>
  </w:abstractNum>
  <w:abstractNum w:abstractNumId="15">
    <w:lvl w:ilvl="0">
      <w:start w:val="1"/>
      <w:numFmt w:val="bullet"/>
      <w:lvlText w:val=""/>
      <w:lvlJc w:val="start"/>
      <w:pPr>
        <w:tabs>
          <w:tab w:val="num" w:pos="360"/>
        </w:tabs>
        <w:ind w:start="360" w:hanging="360"/>
      </w:pPr>
      <w:rPr>
        <w:rFonts w:ascii="Symbol" w:hAnsi="Symbol" w:cs="Symbol" w:hint="default"/>
      </w:rPr>
    </w:lvl>
  </w:abstractNum>
  <w:abstractNum w:abstractNumId="16">
    <w:lvl w:ilvl="0">
      <w:start w:val="1"/>
      <w:numFmt w:val="bullet"/>
      <w:lvlText w:val=""/>
      <w:lvlJc w:val="start"/>
      <w:pPr>
        <w:tabs>
          <w:tab w:val="num" w:pos="360"/>
        </w:tabs>
        <w:ind w:start="360" w:hanging="360"/>
      </w:pPr>
      <w:rPr>
        <w:rFonts w:ascii="Symbol" w:hAnsi="Symbol" w:cs="Symbol" w:hint="default"/>
      </w:rPr>
    </w:lvl>
  </w:abstractNum>
  <w:abstractNum w:abstractNumId="17">
    <w:lvl w:ilvl="0">
      <w:start w:val="1"/>
      <w:numFmt w:val="bullet"/>
      <w:lvlText w:val=""/>
      <w:lvlJc w:val="start"/>
      <w:pPr>
        <w:tabs>
          <w:tab w:val="num" w:pos="360"/>
        </w:tabs>
        <w:ind w:start="360" w:hanging="360"/>
      </w:pPr>
      <w:rPr>
        <w:rFonts w:ascii="Symbol" w:hAnsi="Symbol" w:cs="Symbol" w:hint="default"/>
      </w:rPr>
    </w:lvl>
  </w:abstractNum>
  <w:abstractNum w:abstractNumId="18">
    <w:lvl w:ilvl="0">
      <w:start w:val="1"/>
      <w:numFmt w:val="bullet"/>
      <w:lvlText w:val=""/>
      <w:lvlJc w:val="start"/>
      <w:pPr>
        <w:tabs>
          <w:tab w:val="num" w:pos="360"/>
        </w:tabs>
        <w:ind w:start="360" w:hanging="360"/>
      </w:pPr>
      <w:rPr>
        <w:rFonts w:ascii="Symbol" w:hAnsi="Symbol" w:cs="Symbol" w:hint="default"/>
      </w:rPr>
    </w:lvl>
  </w:abstractNum>
  <w:abstractNum w:abstractNumId="19">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w:hAnsi="Times" w:eastAsia="Times" w:cs="Times"/>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rFonts w:ascii="Palatino" w:hAnsi="Palatino" w:cs="Palatino"/>
      <w:b/>
      <w:sz w:val="20"/>
    </w:rPr>
  </w:style>
  <w:style w:type="paragraph" w:styleId="Heading2">
    <w:name w:val="heading 2"/>
    <w:basedOn w:val="Normal"/>
    <w:next w:val="Normal"/>
    <w:qFormat/>
    <w:pPr>
      <w:keepNext w:val="true"/>
      <w:numPr>
        <w:ilvl w:val="1"/>
        <w:numId w:val="1"/>
      </w:numPr>
      <w:spacing w:lineRule="atLeast" w:line="10"/>
      <w:outlineLvl w:val="1"/>
    </w:pPr>
    <w:rPr>
      <w:rFonts w:ascii="Palatino" w:hAnsi="Palatino" w:eastAsia="Times New Roman" w:cs="Palatino"/>
      <w:sz w:val="20"/>
      <w:u w:val="single"/>
      <w:lang w:eastAsia="en-US"/>
    </w:rPr>
  </w:style>
  <w:style w:type="paragraph" w:styleId="Heading3">
    <w:name w:val="heading 3"/>
    <w:basedOn w:val="Normal"/>
    <w:next w:val="Normal"/>
    <w:qFormat/>
    <w:pPr>
      <w:keepNext w:val="true"/>
      <w:numPr>
        <w:ilvl w:val="2"/>
        <w:numId w:val="1"/>
      </w:numPr>
      <w:jc w:val="center"/>
      <w:outlineLvl w:val="2"/>
    </w:pPr>
    <w:rPr>
      <w:b/>
    </w:rPr>
  </w:style>
  <w:style w:type="paragraph" w:styleId="Heading4">
    <w:name w:val="heading 4"/>
    <w:basedOn w:val="Normal"/>
    <w:next w:val="Normal"/>
    <w:qFormat/>
    <w:pPr>
      <w:keepNext w:val="true"/>
      <w:numPr>
        <w:ilvl w:val="3"/>
        <w:numId w:val="1"/>
      </w:numPr>
      <w:spacing w:before="240" w:after="0"/>
      <w:jc w:val="center"/>
      <w:outlineLvl w:val="3"/>
    </w:pPr>
    <w:rPr>
      <w:rFonts w:ascii="Palatino" w:hAnsi="Palatino" w:cs="Palatino"/>
      <w:b/>
      <w:sz w:val="21"/>
    </w:rPr>
  </w:style>
  <w:style w:type="character" w:styleId="WW8Num2z0">
    <w:name w:val="WW8Num2z0"/>
    <w:qFormat/>
    <w:rPr>
      <w:rFonts w:ascii="Symbol" w:hAnsi="Symbol" w:cs="Symbol"/>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St11z0">
    <w:name w:val="WW8NumSt11z0"/>
    <w:qFormat/>
    <w:rPr>
      <w:rFonts w:ascii="Arial" w:hAnsi="Arial" w:cs="Arial"/>
      <w:sz w:val="36"/>
    </w:rPr>
  </w:style>
  <w:style w:type="character" w:styleId="WW8NumSt12z0">
    <w:name w:val="WW8NumSt12z0"/>
    <w:qFormat/>
    <w:rPr>
      <w:rFonts w:ascii="Arial" w:hAnsi="Arial" w:cs="Arial"/>
      <w:sz w:val="32"/>
    </w:rPr>
  </w:style>
  <w:style w:type="character" w:styleId="WW8NumSt13z0">
    <w:name w:val="WW8NumSt13z0"/>
    <w:qFormat/>
    <w:rPr>
      <w:rFonts w:ascii="Arial" w:hAnsi="Arial" w:cs="Arial"/>
      <w:sz w:val="24"/>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rFonts w:ascii="Palatino" w:hAnsi="Palatino" w:cs="Palatino"/>
      <w:b/>
      <w:sz w:val="22"/>
    </w:rPr>
  </w:style>
  <w:style w:type="paragraph" w:styleId="BodyText">
    <w:name w:val="Body Text"/>
    <w:basedOn w:val="Normal"/>
    <w:pPr/>
    <w:rPr>
      <w:rFonts w:ascii="Palatino" w:hAnsi="Palatino" w:cs="Palatino"/>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Subtitle">
    <w:name w:val="Subtitle"/>
    <w:basedOn w:val="Normal"/>
    <w:next w:val="BodyText"/>
    <w:qFormat/>
    <w:pPr>
      <w:jc w:val="center"/>
    </w:pPr>
    <w:rPr>
      <w:b/>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2001-02-12T17:12:00Z</dcterms:created>
  <dc:creator>Malcolm S. Salter</dc:creator>
  <dc:description/>
  <dc:language>en-CA</dc:language>
  <cp:lastModifiedBy>Josh Merrow</cp:lastModifiedBy>
  <cp:lastPrinted>2000-11-07T14:09:00Z</cp:lastPrinted>
  <dcterms:modified xsi:type="dcterms:W3CDTF">2001-02-12T17:12:00Z</dcterms:modified>
  <cp:revision>2</cp:revision>
  <dc:subject/>
  <dc:title>To:</dc:title>
</cp:coreProperties>
</file>