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embeddings/oleObject2.xlsx" ContentType="application/vnd.openxmlformats-officedocument.spreadsheetml.sheet"/>
  <Override PartName="/word/media/image1.wmf" ContentType="image/x-wmf"/>
  <Override PartName="/word/media/image2.wmf" ContentType="image/x-wmf"/>
  <Override PartName="/word/media/image3.wmf" ContentType="image/x-wmf"/>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DATA ANALYSIS AND MODELING IN HIGH DIMENSIONS</w:t>
      </w:r>
    </w:p>
    <w:p>
      <w:pPr>
        <w:pStyle w:val="Normal"/>
        <w:rPr>
          <w:sz w:val="22"/>
        </w:rPr>
      </w:pPr>
      <w:r>
        <w:rPr>
          <w:sz w:val="22"/>
        </w:rPr>
      </w:r>
    </w:p>
    <w:p>
      <w:pPr>
        <w:pStyle w:val="Normal"/>
        <w:rPr>
          <w:sz w:val="22"/>
        </w:rPr>
      </w:pPr>
      <w:r>
        <w:rPr>
          <w:sz w:val="22"/>
        </w:rPr>
      </w:r>
    </w:p>
    <w:p>
      <w:pPr>
        <w:pStyle w:val="Normal"/>
        <w:rPr>
          <w:sz w:val="22"/>
        </w:rPr>
      </w:pPr>
      <w:r>
        <w:rPr>
          <w:sz w:val="22"/>
        </w:rPr>
      </w:r>
    </w:p>
    <w:p>
      <w:pPr>
        <w:pStyle w:val="Heading1"/>
        <w:ind w:hanging="0" w:start="0"/>
        <w:rPr/>
      </w:pPr>
      <w:r>
        <w:rPr/>
        <w:t>Introduction</w:t>
      </w:r>
    </w:p>
    <w:p>
      <w:pPr>
        <w:pStyle w:val="Normal"/>
        <w:rPr>
          <w:sz w:val="22"/>
        </w:rPr>
      </w:pPr>
      <w:r>
        <w:rPr>
          <w:sz w:val="22"/>
        </w:rPr>
        <w:t>Data analysis becomes challenging when we do not have adequate data and the number of independent variables is relatively large.  An example can be having approximately six hundred observations with more than one hundred variables.  We discuss some of the issues one will face in such situations and ways to come up with a stable and accurate model.</w:t>
      </w:r>
    </w:p>
    <w:p>
      <w:pPr>
        <w:pStyle w:val="Normal"/>
        <w:rPr>
          <w:sz w:val="22"/>
        </w:rPr>
      </w:pPr>
      <w:r>
        <w:rPr>
          <w:sz w:val="22"/>
        </w:rPr>
      </w:r>
    </w:p>
    <w:p>
      <w:pPr>
        <w:pStyle w:val="Normal"/>
        <w:rPr>
          <w:sz w:val="22"/>
        </w:rPr>
      </w:pPr>
      <w:r>
        <w:rPr>
          <w:sz w:val="22"/>
        </w:rPr>
      </w:r>
    </w:p>
    <w:p>
      <w:pPr>
        <w:pStyle w:val="Heading1"/>
        <w:ind w:hanging="0" w:start="0"/>
        <w:rPr/>
      </w:pPr>
      <w:r>
        <w:rPr/>
        <w:t>Missing Data</w:t>
      </w:r>
    </w:p>
    <w:p>
      <w:pPr>
        <w:pStyle w:val="BodyText"/>
        <w:rPr/>
      </w:pPr>
      <w:r>
        <w:rPr/>
        <w:t>Before modeling, it is important to understand the data and preprocess accordingly.  When we have missing data, one needs to look at percentage of missing data for each independent variable.  A very high percentage of missing data may suggest dropping such variable from further analysis and modeling.  However, if the percentage of missing data is somewhat acceptable, then we can attempt to replace the missing observations.  One option is to replace these observations with the mean of the independent variable.  But this may create additional noise in the data.  A better way is to use the relationship between the dependent variable and the independent variable.  We can use the available data to come up with a univariate relationship between the independent variable and the dependent variable.  The conditional mean value of the dependent variable for the missing independent variable data can then be used to calculate the replacement value from the univariate relationship.</w:t>
      </w:r>
    </w:p>
    <w:p>
      <w:pPr>
        <w:pStyle w:val="Normal"/>
        <w:rPr>
          <w:sz w:val="22"/>
        </w:rPr>
      </w:pPr>
      <w:r>
        <w:rPr>
          <w:sz w:val="22"/>
        </w:rPr>
      </w:r>
    </w:p>
    <w:p>
      <w:pPr>
        <w:pStyle w:val="Normal"/>
        <w:rPr>
          <w:sz w:val="22"/>
        </w:rPr>
      </w:pPr>
      <w:r>
        <w:rPr>
          <w:sz w:val="22"/>
        </w:rPr>
      </w:r>
    </w:p>
    <w:p>
      <w:pPr>
        <w:pStyle w:val="Heading1"/>
        <w:ind w:hanging="0" w:start="0"/>
        <w:rPr/>
      </w:pPr>
      <w:r>
        <w:rPr/>
        <w:t>Distribution and Extrapolation</w:t>
      </w:r>
    </w:p>
    <w:p>
      <w:pPr>
        <w:pStyle w:val="Normal"/>
        <w:rPr>
          <w:sz w:val="22"/>
        </w:rPr>
      </w:pPr>
      <w:r>
        <w:rPr>
          <w:sz w:val="22"/>
        </w:rPr>
        <w:t>We develop the model using training data set, validate the model using the validation data set and then finally the model is applied the population of interest.  Usually a 67%/33% proportion is used for training and validation.  It is important to obtain consistency in distribution across training and validation data sets as well as the final population to which the model will be applied.  The model may suffer from extrapolation error if the entire range of population is not covered and adequately represented in training and validation data sets.</w:t>
      </w:r>
    </w:p>
    <w:p>
      <w:pPr>
        <w:pStyle w:val="Normal"/>
        <w:rPr>
          <w:sz w:val="22"/>
        </w:rPr>
      </w:pPr>
      <w:r>
        <w:rPr>
          <w:sz w:val="22"/>
        </w:rPr>
        <w:t>The consistency of distribution has to be maintained at multivariate level.  A good starting point however is to make sure that the univariate distribution of the most predictive independent variables is fairly same in training and validation data sets and the population.  One can measure the Kolmogorov-Smirnov statistic (KS Statistic) to get a sense of how close the distributions are, and also visually examine the histograms.</w:t>
      </w:r>
    </w:p>
    <w:p>
      <w:pPr>
        <w:pStyle w:val="Normal"/>
        <w:rPr>
          <w:sz w:val="22"/>
        </w:rPr>
      </w:pPr>
      <w:r>
        <w:rPr>
          <w:sz w:val="22"/>
        </w:rPr>
        <w:t>If inconsistency is diagnosed, then the next step would be to remove and/or add observations in the training and validation data sets to bring consistency in distribution as much as possible.</w:t>
      </w:r>
    </w:p>
    <w:p>
      <w:pPr>
        <w:pStyle w:val="Normal"/>
        <w:rPr>
          <w:sz w:val="22"/>
        </w:rPr>
      </w:pPr>
      <w:r>
        <w:rPr>
          <w:sz w:val="22"/>
        </w:rPr>
      </w:r>
    </w:p>
    <w:p>
      <w:pPr>
        <w:pStyle w:val="Normal"/>
        <w:rPr>
          <w:sz w:val="22"/>
        </w:rPr>
      </w:pPr>
      <w:r>
        <w:rPr>
          <w:sz w:val="22"/>
        </w:rPr>
      </w:r>
    </w:p>
    <w:p>
      <w:pPr>
        <w:pStyle w:val="Heading1"/>
        <w:ind w:hanging="0" w:start="0"/>
        <w:rPr/>
      </w:pPr>
      <w:r>
        <w:rPr/>
        <w:t>Adverse Selection</w:t>
      </w:r>
    </w:p>
    <w:p>
      <w:pPr>
        <w:pStyle w:val="Normal"/>
        <w:rPr>
          <w:sz w:val="22"/>
        </w:rPr>
      </w:pPr>
      <w:r>
        <w:rPr>
          <w:sz w:val="22"/>
        </w:rPr>
        <w:t>Model predictive ability may not be same across the entire range of population.  It is required to know where the model is under-predicting or over-predicting and rectify the problem.  In particular, when we price any type of risk, under-prediction or over prediction may create arbitrage opportunities across segments of the population.</w:t>
      </w:r>
    </w:p>
    <w:p>
      <w:pPr>
        <w:pStyle w:val="Normal"/>
        <w:rPr>
          <w:sz w:val="22"/>
        </w:rPr>
      </w:pPr>
      <w:r>
        <w:rPr>
          <w:sz w:val="22"/>
        </w:rPr>
      </w:r>
    </w:p>
    <w:p>
      <w:pPr>
        <w:pStyle w:val="Normal"/>
        <w:rPr>
          <w:sz w:val="22"/>
        </w:rPr>
      </w:pPr>
      <w:r>
        <w:rPr>
          <w:sz w:val="22"/>
        </w:rPr>
      </w:r>
    </w:p>
    <w:p>
      <w:pPr>
        <w:pStyle w:val="Heading1"/>
        <w:ind w:hanging="0" w:start="0"/>
        <w:rPr/>
      </w:pPr>
      <w:r>
        <w:rPr/>
        <w:t>Measurement Inconsistency</w:t>
      </w:r>
    </w:p>
    <w:p>
      <w:pPr>
        <w:pStyle w:val="Normal"/>
        <w:rPr>
          <w:sz w:val="22"/>
        </w:rPr>
      </w:pPr>
      <w:r>
        <w:rPr>
          <w:sz w:val="22"/>
        </w:rPr>
        <w:t>Measurement inconsistency needs to be solved or mitigated as much as possible.  Many of these issues are project specific and one needs to perform a detailed study to identify and handle the issues.  For example, sometimes we use financial data that may suffer from inconsistency in accounting methodology across different countries.  One may group countries using similar accounting practices to mitigate this issue.  Also, it is important to make sure that all measurements are in same currency.  If data is received from multiple sources, then one may want to create a variable to capture this information.</w:t>
      </w:r>
    </w:p>
    <w:p>
      <w:pPr>
        <w:pStyle w:val="Normal"/>
        <w:rPr>
          <w:sz w:val="22"/>
        </w:rPr>
      </w:pPr>
      <w:r>
        <w:rPr>
          <w:sz w:val="22"/>
        </w:rPr>
      </w:r>
    </w:p>
    <w:p>
      <w:pPr>
        <w:pStyle w:val="Normal"/>
        <w:rPr>
          <w:sz w:val="22"/>
        </w:rPr>
      </w:pPr>
      <w:r>
        <w:rPr>
          <w:sz w:val="22"/>
        </w:rPr>
      </w:r>
    </w:p>
    <w:p>
      <w:pPr>
        <w:pStyle w:val="Heading1"/>
        <w:ind w:hanging="0" w:start="0"/>
        <w:rPr/>
      </w:pPr>
      <w:r>
        <w:rPr/>
        <w:t xml:space="preserve">Univariate Variable Selection </w:t>
      </w:r>
    </w:p>
    <w:p>
      <w:pPr>
        <w:pStyle w:val="Normal"/>
        <w:rPr>
          <w:sz w:val="22"/>
        </w:rPr>
      </w:pPr>
      <w:r>
        <w:rPr>
          <w:sz w:val="22"/>
        </w:rPr>
        <w:t>We can generate Pearson’s product-moment correlation matrix and Spearman’s rank correlation matrix to examine the correlation structure and predictive ability of all independent variables.  Additionally, we can create univariate plots to examine relationship between the dependent variable and each independent variable.  For each independent variable, the independent and dependent pair of data is sorted by the value of independent variable and then binned into 20 or more percentile ranges.  Mean dependent variable values are then calculated for each bin.  These mean values are then plotted against bin numbers.  These plots are useful for evaluating prediction power of the variable.  Also, these plots can be useful later for developing dummy variables (will be discussed in the next section).</w:t>
      </w:r>
    </w:p>
    <w:p>
      <w:pPr>
        <w:pStyle w:val="Normal"/>
        <w:rPr>
          <w:sz w:val="22"/>
        </w:rPr>
      </w:pPr>
      <w:r>
        <w:rPr>
          <w:sz w:val="22"/>
        </w:rPr>
        <w:t>Additionally, one can perform stepwise regression to get a list of variables.  Approaches such as classification and regression tree can also be adopted.  The objective is to adopt as many different approaches as possible and finally combine all the results and insights to come up with a short list of independent variables.</w:t>
      </w:r>
    </w:p>
    <w:p>
      <w:pPr>
        <w:pStyle w:val="Normal"/>
        <w:rPr>
          <w:sz w:val="22"/>
        </w:rPr>
      </w:pPr>
      <w:r>
        <w:rPr>
          <w:sz w:val="22"/>
        </w:rPr>
      </w:r>
    </w:p>
    <w:p>
      <w:pPr>
        <w:pStyle w:val="Normal"/>
        <w:rPr>
          <w:sz w:val="22"/>
        </w:rPr>
      </w:pPr>
      <w:r>
        <w:rPr>
          <w:sz w:val="22"/>
        </w:rPr>
      </w:r>
    </w:p>
    <w:p>
      <w:pPr>
        <w:pStyle w:val="Heading1"/>
        <w:ind w:hanging="0" w:start="0"/>
        <w:rPr/>
      </w:pPr>
      <w:r>
        <w:rPr/>
        <w:t xml:space="preserve">Dummification </w:t>
      </w:r>
    </w:p>
    <w:p>
      <w:pPr>
        <w:pStyle w:val="Normal"/>
        <w:rPr>
          <w:sz w:val="22"/>
        </w:rPr>
      </w:pPr>
      <w:r>
        <w:rPr>
          <w:sz w:val="22"/>
        </w:rPr>
        <w:t>Each independent variable is transformed into dummy variables to maximize prediction power and, at the same time, achieve physically consistent relationship.  However, for the purpose of stability of the model, we need to make sure that sufficient number of observations supports each dummy variable.  One can use the univariate plots of dependent variable mean values to come up with bin ranges.  Alternatively, one can adopt tree algorithm to come up with statistically optimal dummy ranges.</w:t>
      </w:r>
    </w:p>
    <w:p>
      <w:pPr>
        <w:pStyle w:val="Normal"/>
        <w:rPr>
          <w:sz w:val="22"/>
        </w:rPr>
      </w:pPr>
      <w:r>
        <w:rPr>
          <w:sz w:val="22"/>
        </w:rPr>
      </w:r>
    </w:p>
    <w:p>
      <w:pPr>
        <w:pStyle w:val="Normal"/>
        <w:rPr>
          <w:sz w:val="22"/>
        </w:rPr>
      </w:pPr>
      <w:r>
        <w:rPr>
          <w:sz w:val="22"/>
        </w:rPr>
      </w:r>
    </w:p>
    <w:p>
      <w:pPr>
        <w:pStyle w:val="Heading1"/>
        <w:ind w:hanging="0" w:start="0"/>
        <w:rPr/>
      </w:pPr>
      <w:r>
        <w:rPr/>
        <w:t>Multivariate Selection</w:t>
      </w:r>
    </w:p>
    <w:p>
      <w:pPr>
        <w:pStyle w:val="Normal"/>
        <w:rPr>
          <w:sz w:val="22"/>
        </w:rPr>
      </w:pPr>
      <w:r>
        <w:rPr>
          <w:sz w:val="22"/>
        </w:rPr>
        <w:t>Once we have decided the ranges of the dummy variables, regression is performed on all dummy variables to make an initial selection.  One needs to look at the estimates of coefficients , standard error of coefficients and p values on t-test.  Dummy ranges are adjusted accordingly.  Sometimes, two or more dummies are collapsed to achieve significance and consistency. This iterative process continues until we come up with a final regression model that looks statistically sound and stable.</w:t>
      </w:r>
    </w:p>
    <w:p>
      <w:pPr>
        <w:pStyle w:val="Normal"/>
        <w:rPr>
          <w:sz w:val="22"/>
        </w:rPr>
      </w:pPr>
      <w:r>
        <w:rPr>
          <w:sz w:val="22"/>
        </w:rPr>
      </w:r>
    </w:p>
    <w:p>
      <w:pPr>
        <w:pStyle w:val="Normal"/>
        <w:rPr>
          <w:sz w:val="22"/>
        </w:rPr>
      </w:pPr>
      <w:r>
        <w:rPr>
          <w:sz w:val="22"/>
        </w:rPr>
      </w:r>
    </w:p>
    <w:p>
      <w:pPr>
        <w:pStyle w:val="Heading1"/>
        <w:ind w:hanging="0" w:start="0"/>
        <w:rPr/>
      </w:pPr>
      <w:r>
        <w:rPr/>
        <w:t>An Example</w:t>
      </w:r>
    </w:p>
    <w:p>
      <w:pPr>
        <w:pStyle w:val="Normal"/>
        <w:rPr>
          <w:sz w:val="22"/>
        </w:rPr>
      </w:pPr>
      <w:r>
        <w:rPr>
          <w:sz w:val="22"/>
        </w:rPr>
        <w:t>We can illustrate the modeling approach using Figures1 and 2 and Table 1.  Figure 1 shows a typical plot of dependent variable mean values by independent variable bins.  The bins have been created by sorting the data by independent variable values and then creating 20 bins each consisting 5 percent of data.  One can observe the noise and the need for collapsing these bins to come up with smaller number of bins.  Smaller number of bins will provide smoother and physically meaningful relationship.  This has been illustrated in Figure 2.  Collapsing of bins in this case has been accomplished by visual inspection.  Alternatively, one can also adopt Classification Tree approach to come up with optimal bin ranges.</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lang w:val="en-CA"/>
        </w:rPr>
      </w:pPr>
      <w:r>
        <w:rPr>
          <w:sz w:val="22"/>
          <w:lang w:val="en-CA"/>
        </w:rPr>
        <w:object w:dxaOrig="7681" w:dyaOrig="512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25.2pt;margin-top:16.8pt;width:360pt;height:235.2pt;mso-wrap-distance-left:9.05pt;mso-wrap-distance-right:9.05pt;mso-position-horizontal-relative:text;mso-position-vertical-relative:text" filled="f" o:ole="">
            <v:imagedata r:id="rId3" o:title=""/>
            <w10:wrap type="topAndBottom"/>
          </v:shape>
          <o:OLEObject Type="Embed" ProgID="Excel.Sheet.12" ShapeID="ole_rId2" DrawAspect="Content" ObjectID="_1235057348" r:id="rId2"/>
        </w:object>
      </w:r>
    </w:p>
    <w:p>
      <w:pPr>
        <w:pStyle w:val="Normal"/>
        <w:rPr>
          <w:sz w:val="22"/>
        </w:rPr>
      </w:pPr>
      <w:r>
        <w:rPr>
          <w:sz w:val="22"/>
        </w:rPr>
      </w:r>
    </w:p>
    <w:p>
      <w:pPr>
        <w:pStyle w:val="BodyText2"/>
        <w:rPr/>
      </w:pPr>
      <w:r>
        <w:rPr/>
        <w:t>Figure 1 : Shows average dependent variable values by bins constructed using percentiles of an independent variable.</w:t>
      </w:r>
    </w:p>
    <w:p>
      <w:pPr>
        <w:pStyle w:val="Normal"/>
        <w:rPr>
          <w:sz w:val="22"/>
        </w:rPr>
      </w:pPr>
      <w:r>
        <w:rPr>
          <w:sz w:val="22"/>
        </w:rPr>
      </w:r>
    </w:p>
    <w:p>
      <w:pPr>
        <w:pStyle w:val="Normal"/>
        <w:rPr>
          <w:sz w:val="22"/>
        </w:rPr>
      </w:pPr>
      <w:r>
        <w:rPr>
          <w:sz w:val="22"/>
        </w:rPr>
      </w:r>
    </w:p>
    <w:p>
      <w:pPr>
        <w:pStyle w:val="Normal"/>
        <w:rPr>
          <w:sz w:val="22"/>
          <w:lang w:val="en-CA"/>
        </w:rPr>
      </w:pPr>
      <w:r>
        <w:rPr>
          <w:sz w:val="22"/>
          <w:lang w:val="en-CA"/>
        </w:rPr>
        <w:object w:dxaOrig="8961" w:dyaOrig="5633">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25.2pt;margin-top:12.9pt;width:360pt;height:217.05pt;mso-wrap-distance-left:9.05pt;mso-wrap-distance-right:9.05pt;mso-position-horizontal-relative:text;mso-position-vertical-relative:text" filled="f" o:ole="">
            <v:imagedata r:id="rId5" o:title=""/>
            <w10:wrap type="topAndBottom"/>
          </v:shape>
          <o:OLEObject Type="Embed" ProgID="Excel.Sheet.12" ShapeID="ole_rId4" DrawAspect="Content" ObjectID="_1179216686" r:id="rId4"/>
        </w:object>
        <mc:AlternateContent>
          <mc:Choice Requires="wps">
            <w:drawing>
              <wp:anchor behindDoc="0" distT="0" distB="0" distL="114935" distR="114935" simplePos="0" locked="0" layoutInCell="1" allowOverlap="1" relativeHeight="8">
                <wp:simplePos x="0" y="0"/>
                <wp:positionH relativeFrom="column">
                  <wp:posOffset>2331720</wp:posOffset>
                </wp:positionH>
                <wp:positionV relativeFrom="paragraph">
                  <wp:posOffset>1274445</wp:posOffset>
                </wp:positionV>
                <wp:extent cx="1463040" cy="1097280"/>
                <wp:effectExtent l="5080" t="5080" r="5080" b="5080"/>
                <wp:wrapNone/>
                <wp:docPr id="1" name=""/>
                <a:graphic xmlns:a="http://schemas.openxmlformats.org/drawingml/2006/main">
                  <a:graphicData uri="http://schemas.microsoft.com/office/word/2010/wordprocessingShape">
                    <wps:wsp>
                      <wps:cNvSpPr/>
                      <wps:spPr>
                        <a:xfrm>
                          <a:off x="0" y="0"/>
                          <a:ext cx="1463040" cy="1097280"/>
                        </a:xfrm>
                        <a:prstGeom prst="rect">
                          <a:avLst/>
                        </a:prstGeom>
                        <a:solidFill>
                          <a:srgbClr val="ffcc99"/>
                        </a:solidFill>
                        <a:ln w="9360">
                          <a:solidFill>
                            <a:srgbClr val="000000"/>
                          </a:solidFill>
                          <a:miter/>
                        </a:ln>
                      </wps:spPr>
                      <wps:style>
                        <a:lnRef idx="0"/>
                        <a:fillRef idx="0"/>
                        <a:effectRef idx="0"/>
                        <a:fontRef idx="minor"/>
                      </wps:style>
                      <wps:bodyPr/>
                    </wps:wsp>
                  </a:graphicData>
                </a:graphic>
              </wp:anchor>
            </w:drawing>
          </mc:Choice>
          <mc:Fallback>
            <w:pict>
              <v:rect id="shape_0" fillcolor="#ffcc99" stroked="t" o:allowincell="f" style="position:absolute;margin-left:183.6pt;margin-top:100.35pt;width:115.15pt;height:86.35pt;mso-wrap-style:none;v-text-anchor:middle">
                <v:fill o:detectmouseclick="t" type="solid" color2="#003366"/>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9">
                <wp:simplePos x="0" y="0"/>
                <wp:positionH relativeFrom="column">
                  <wp:posOffset>3794760</wp:posOffset>
                </wp:positionH>
                <wp:positionV relativeFrom="paragraph">
                  <wp:posOffset>634365</wp:posOffset>
                </wp:positionV>
                <wp:extent cx="1005840" cy="1737360"/>
                <wp:effectExtent l="5080" t="5080" r="5080" b="5080"/>
                <wp:wrapNone/>
                <wp:docPr id="2" name=""/>
                <a:graphic xmlns:a="http://schemas.openxmlformats.org/drawingml/2006/main">
                  <a:graphicData uri="http://schemas.microsoft.com/office/word/2010/wordprocessingShape">
                    <wps:wsp>
                      <wps:cNvSpPr/>
                      <wps:spPr>
                        <a:xfrm>
                          <a:off x="0" y="0"/>
                          <a:ext cx="1005840" cy="1737360"/>
                        </a:xfrm>
                        <a:prstGeom prst="rect">
                          <a:avLst/>
                        </a:prstGeom>
                        <a:solidFill>
                          <a:srgbClr val="ff99cc"/>
                        </a:solidFill>
                        <a:ln w="9360">
                          <a:solidFill>
                            <a:srgbClr val="000000"/>
                          </a:solidFill>
                          <a:miter/>
                        </a:ln>
                      </wps:spPr>
                      <wps:style>
                        <a:lnRef idx="0"/>
                        <a:fillRef idx="0"/>
                        <a:effectRef idx="0"/>
                        <a:fontRef idx="minor"/>
                      </wps:style>
                      <wps:bodyPr/>
                    </wps:wsp>
                  </a:graphicData>
                </a:graphic>
              </wp:anchor>
            </w:drawing>
          </mc:Choice>
          <mc:Fallback>
            <w:pict>
              <v:rect id="shape_0" fillcolor="#ff99cc" stroked="t" o:allowincell="f" style="position:absolute;margin-left:298.8pt;margin-top:49.95pt;width:79.15pt;height:136.75pt;mso-wrap-style:none;v-text-anchor:middle">
                <v:fill o:detectmouseclick="t" type="solid" color2="#006633"/>
                <v:stroke color="black" weight="9360" joinstyle="miter" endcap="flat"/>
                <w10:wrap type="none"/>
              </v:rect>
            </w:pict>
          </mc:Fallback>
        </mc:AlternateContent>
      </w:r>
    </w:p>
    <w:p>
      <w:pPr>
        <w:pStyle w:val="Normal"/>
        <w:rPr>
          <w:sz w:val="22"/>
          <w:lang w:val="en-CA"/>
        </w:rPr>
      </w:pPr>
      <w:r>
        <w:rPr>
          <w:sz w:val="22"/>
          <w:lang w:val="en-CA"/>
        </w:rPr>
        <mc:AlternateContent>
          <mc:Choice Requires="wps">
            <w:drawing>
              <wp:anchor behindDoc="0" distT="0" distB="0" distL="114935" distR="114935" simplePos="0" locked="0" layoutInCell="1" allowOverlap="1" relativeHeight="7">
                <wp:simplePos x="0" y="0"/>
                <wp:positionH relativeFrom="column">
                  <wp:posOffset>1080135</wp:posOffset>
                </wp:positionH>
                <wp:positionV relativeFrom="paragraph">
                  <wp:posOffset>1466215</wp:posOffset>
                </wp:positionV>
                <wp:extent cx="1251585" cy="731520"/>
                <wp:effectExtent l="5715" t="5080" r="4445" b="5080"/>
                <wp:wrapNone/>
                <wp:docPr id="3" name=""/>
                <a:graphic xmlns:a="http://schemas.openxmlformats.org/drawingml/2006/main">
                  <a:graphicData uri="http://schemas.microsoft.com/office/word/2010/wordprocessingShape">
                    <wps:wsp>
                      <wps:cNvSpPr/>
                      <wps:spPr>
                        <a:xfrm>
                          <a:off x="0" y="0"/>
                          <a:ext cx="1251720" cy="731520"/>
                        </a:xfrm>
                        <a:prstGeom prst="rect">
                          <a:avLst/>
                        </a:prstGeom>
                        <a:solidFill>
                          <a:srgbClr val="ffff00"/>
                        </a:solidFill>
                        <a:ln w="9360">
                          <a:solidFill>
                            <a:srgbClr val="000000"/>
                          </a:solidFill>
                          <a:miter/>
                        </a:ln>
                      </wps:spPr>
                      <wps:style>
                        <a:lnRef idx="0"/>
                        <a:fillRef idx="0"/>
                        <a:effectRef idx="0"/>
                        <a:fontRef idx="minor"/>
                      </wps:style>
                      <wps:bodyPr/>
                    </wps:wsp>
                  </a:graphicData>
                </a:graphic>
              </wp:anchor>
            </w:drawing>
          </mc:Choice>
          <mc:Fallback>
            <w:pict>
              <v:rect id="shape_0" fillcolor="yellow" stroked="t" o:allowincell="f" style="position:absolute;margin-left:85.05pt;margin-top:115.45pt;width:98.5pt;height:57.55pt;mso-wrap-style:none;v-text-anchor:middle">
                <v:fill o:detectmouseclick="t" type="solid" color2="blue"/>
                <v:stroke color="black" weight="9360" joinstyle="miter" endcap="flat"/>
                <w10:wrap type="none"/>
              </v:rect>
            </w:pict>
          </mc:Fallback>
        </mc:AlternateContent>
      </w:r>
    </w:p>
    <w:p>
      <w:pPr>
        <w:pStyle w:val="BodyText2"/>
        <w:rPr/>
      </w:pPr>
      <w:r>
        <w:rPr/>
        <w:t>Figure 2: Shows smoother relationship after collapsing the bins.</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Once initial dummification is completed, the coefficients are estimated by performing regression.  The regression output is examined for the significance of the coefficients as well as consistency and physically meaningful relationship between independent variables and the dependent variable.  Dummies can be collapsed further, or ranges for the dummies can be redefined.  One may drop a particular variable altogether or try adding additional variables.  A final regression typically looks  similar to what is shown in Table 1.</w:t>
      </w:r>
    </w:p>
    <w:p>
      <w:pPr>
        <w:pStyle w:val="Normal"/>
        <w:rPr>
          <w:sz w:val="22"/>
        </w:rPr>
      </w:pPr>
      <w:r>
        <w:rPr>
          <w:sz w:val="22"/>
        </w:rPr>
        <w:t>If one transforms y variable before performing regression, then the functional form of the model will be</w:t>
      </w:r>
    </w:p>
    <w:p>
      <w:pPr>
        <w:pStyle w:val="Normal"/>
        <w:rPr>
          <w:sz w:val="22"/>
        </w:rPr>
      </w:pPr>
      <w:r>
        <w:rPr>
          <w:sz w:val="22"/>
        </w:rPr>
      </w:r>
    </w:p>
    <w:p>
      <w:pPr>
        <w:pStyle w:val="Normal"/>
        <w:rPr>
          <w:sz w:val="22"/>
        </w:rPr>
      </w:pPr>
      <w:r>
        <w:rPr>
          <w:sz w:val="22"/>
        </w:rPr>
      </w:r>
      <m:oMathPara xmlns:m="http://schemas.openxmlformats.org/officeDocument/2006/math">
        <m:oMathParaPr>
          <m:jc m:val="left"/>
        </m:oMathParaPr>
        <m:oMath>
          <m:r>
            <m:t xml:space="preserve">y</m:t>
          </m:r>
          <m:r>
            <m:t xml:space="preserve">=</m:t>
          </m:r>
          <m:r>
            <m:t xml:space="preserve">f</m:t>
          </m:r>
          <m:d>
            <m:dPr>
              <m:begChr m:val="("/>
              <m:endChr m:val=")"/>
            </m:dPr>
            <m:e>
              <m:r>
                <m:rPr>
                  <m:lit/>
                  <m:nor/>
                </m:rPr>
                <m:t xml:space="preserve">Intercept</m:t>
              </m:r>
              <m:r>
                <m:t xml:space="preserve">+</m:t>
              </m:r>
              <m:nary>
                <m:naryPr>
                  <m:chr m:val="∑"/>
                </m:naryPr>
                <m:sub>
                  <m:r>
                    <m:t xml:space="preserve">i</m:t>
                  </m:r>
                  <m:r>
                    <m:t xml:space="preserve">=</m:t>
                  </m:r>
                  <m:r>
                    <m:t xml:space="preserve">1</m:t>
                  </m:r>
                </m:sub>
                <m:sup>
                  <m:r>
                    <m:rPr>
                      <m:lit/>
                      <m:nor/>
                    </m:rPr>
                    <m:t xml:space="preserve">10</m:t>
                  </m:r>
                </m:sup>
                <m:e>
                  <m:sSub>
                    <m:e>
                      <m:r>
                        <m:t xml:space="preserve">w</m:t>
                      </m:r>
                    </m:e>
                    <m:sub>
                      <m:r>
                        <m:t xml:space="preserve">i</m:t>
                      </m:r>
                    </m:sub>
                  </m:sSub>
                </m:e>
              </m:nary>
            </m:e>
          </m:d>
        </m:oMath>
      </m:oMathPara>
    </w:p>
    <w:p>
      <w:pPr>
        <w:pStyle w:val="Normal"/>
        <w:rPr>
          <w:sz w:val="22"/>
        </w:rPr>
      </w:pPr>
      <w:r>
        <w:rPr>
          <w:sz w:val="22"/>
        </w:rPr>
      </w:r>
    </w:p>
    <w:p>
      <w:pPr>
        <w:pStyle w:val="Normal"/>
        <w:rPr/>
      </w:pPr>
      <w:r>
        <w:rPr>
          <w:sz w:val="22"/>
        </w:rPr>
        <w:t>where y is the dependent variable and w</w:t>
      </w:r>
      <w:r>
        <w:rPr>
          <w:sz w:val="22"/>
          <w:vertAlign w:val="subscript"/>
        </w:rPr>
        <w:t>i</w:t>
      </w:r>
      <w:r>
        <w:rPr>
          <w:sz w:val="22"/>
        </w:rPr>
        <w:t xml:space="preserve"> s are the weights of the variables.  In Table 1, we have ten variables.</w:t>
      </w:r>
    </w:p>
    <w:p>
      <w:pPr>
        <w:pStyle w:val="Normal"/>
        <w:rPr>
          <w:sz w:val="22"/>
        </w:rPr>
      </w:pPr>
      <w:r>
        <w:rPr>
          <w:sz w:val="22"/>
        </w:rPr>
      </w:r>
    </w:p>
    <w:p>
      <w:pPr>
        <w:pStyle w:val="Normal"/>
        <w:rPr>
          <w:sz w:val="22"/>
        </w:rPr>
      </w:pPr>
      <w:r>
        <w:rPr>
          <w:sz w:val="22"/>
        </w:rPr>
      </w:r>
    </w:p>
    <w:p>
      <w:pPr>
        <w:pStyle w:val="Heading1"/>
        <w:ind w:hanging="0" w:start="0"/>
        <w:rPr/>
      </w:pPr>
      <w:r>
        <w:rPr/>
        <w:t>Table 1: Shows estimates of the coefficients of the dummy variables and their significance.</w:t>
      </w:r>
    </w:p>
    <w:p>
      <w:pPr>
        <w:pStyle w:val="Normal"/>
        <w:rPr>
          <w:sz w:val="22"/>
        </w:rPr>
      </w:pPr>
      <w:r>
        <w:rPr>
          <w:sz w:val="22"/>
        </w:rPr>
      </w:r>
    </w:p>
    <w:p>
      <w:pPr>
        <w:pStyle w:val="Normal"/>
        <w:rPr>
          <w:sz w:val="22"/>
        </w:rPr>
      </w:pPr>
      <w:r>
        <w:rPr>
          <w:sz w:val="22"/>
        </w:rPr>
        <w:drawing>
          <wp:anchor behindDoc="0" distT="0" distB="0" distL="114935" distR="114935" simplePos="0" locked="0" layoutInCell="0" allowOverlap="1" relativeHeight="11">
            <wp:simplePos x="0" y="0"/>
            <wp:positionH relativeFrom="column">
              <wp:posOffset>45720</wp:posOffset>
            </wp:positionH>
            <wp:positionV relativeFrom="paragraph">
              <wp:posOffset>226060</wp:posOffset>
            </wp:positionV>
            <wp:extent cx="5483860" cy="3858895"/>
            <wp:effectExtent l="0" t="0" r="0" b="0"/>
            <wp:wrapTopAndBottom/>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6"/>
                    <a:srcRect l="-6" t="-8" r="-6" b="-8"/>
                    <a:stretch>
                      <a:fillRect/>
                    </a:stretch>
                  </pic:blipFill>
                  <pic:spPr bwMode="auto">
                    <a:xfrm>
                      <a:off x="0" y="0"/>
                      <a:ext cx="5483860" cy="3858895"/>
                    </a:xfrm>
                    <a:prstGeom prst="rect">
                      <a:avLst/>
                    </a:prstGeom>
                    <a:noFill/>
                  </pic:spPr>
                </pic:pic>
              </a:graphicData>
            </a:graphic>
          </wp:anchor>
        </w:drawing>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sectPr>
      <w:footerReference w:type="default" r:id="rId7"/>
      <w:footerReference w:type="first" r:id="rId8"/>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lang w:eastAsia="en-US"/>
      </w:rPr>
      <w:t xml:space="preserve">Created by </w:t>
    </w:r>
    <w:r>
      <w:rPr>
        <w:lang w:eastAsia="en-US"/>
      </w:rPr>
      <w:fldChar w:fldCharType="begin"/>
    </w:r>
    <w:r>
      <w:rPr>
        <w:lang w:eastAsia="en-US"/>
      </w:rPr>
      <w:instrText xml:space="preserve"> AUTHOR </w:instrText>
    </w:r>
    <w:r>
      <w:rPr>
        <w:lang w:eastAsia="en-US"/>
      </w:rPr>
      <w:fldChar w:fldCharType="separate"/>
    </w:r>
    <w:r>
      <w:rPr>
        <w:lang w:eastAsia="en-US"/>
      </w:rPr>
      <w:t>adhar</w:t>
    </w:r>
    <w:r>
      <w:rPr>
        <w:lang w:eastAsia="en-US"/>
      </w:rPr>
      <w:fldChar w:fldCharType="end"/>
    </w:r>
    <w: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64135" cy="146685"/>
              <wp:effectExtent l="0" t="0" r="0" b="0"/>
              <wp:wrapSquare wrapText="bothSides"/>
              <wp:docPr id="5"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lang w:eastAsia="en-US"/>
      </w:rPr>
      <w:t xml:space="preserve">Created by </w:t>
    </w:r>
    <w:r>
      <w:rPr>
        <w:lang w:eastAsia="en-US"/>
      </w:rPr>
      <w:fldChar w:fldCharType="begin"/>
    </w:r>
    <w:r>
      <w:rPr>
        <w:lang w:eastAsia="en-US"/>
      </w:rPr>
      <w:instrText xml:space="preserve"> AUTHOR </w:instrText>
    </w:r>
    <w:r>
      <w:rPr>
        <w:lang w:eastAsia="en-US"/>
      </w:rPr>
      <w:fldChar w:fldCharType="separate"/>
    </w:r>
    <w:r>
      <w:rPr>
        <w:lang w:eastAsia="en-US"/>
      </w:rPr>
      <w:t>adhar</w:t>
    </w:r>
    <w:r>
      <w:rPr>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b/>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package" Target="embeddings/oleObject2.xlsx"/><Relationship Id="rId5" Type="http://schemas.openxmlformats.org/officeDocument/2006/relationships/image" Target="media/image2.wmf"/><Relationship Id="rId6" Type="http://schemas.openxmlformats.org/officeDocument/2006/relationships/image" Target="media/image3.wmf"/><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2000-11-13T12:28:00Z</dcterms:created>
  <dc:creator>adhar</dc:creator>
  <dc:description/>
  <dc:language>en-CA</dc:language>
  <cp:lastModifiedBy>adhar</cp:lastModifiedBy>
  <cp:lastPrinted>2000-11-14T15:38:00Z</cp:lastPrinted>
  <dcterms:modified xsi:type="dcterms:W3CDTF">2000-11-14T19:09:00Z</dcterms:modified>
  <cp:revision>38</cp:revision>
  <dc:subject/>
  <dc:title>DATA ANALYSIS AND MODELING IN HIGH DIMENSIONS</dc:title>
</cp:coreProperties>
</file>