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sz w:val="28"/>
        </w:rPr>
        <w:t>THE</w:t>
      </w:r>
      <w:r>
        <w:rPr>
          <w:b/>
          <w:bCs/>
          <w:sz w:val="28"/>
        </w:rPr>
        <w:t xml:space="preserve"> TESLA</w:t>
      </w:r>
      <w:r>
        <w:rPr>
          <w:b/>
          <w:bCs/>
          <w:vertAlign w:val="superscript"/>
        </w:rPr>
        <w:t>™</w:t>
      </w:r>
      <w:r>
        <w:rPr>
          <w:b/>
          <w:bCs/>
          <w:sz w:val="28"/>
        </w:rPr>
        <w:t xml:space="preserve"> LOAD FORECASTING</w:t>
      </w:r>
      <w:r>
        <w:rPr>
          <w:sz w:val="28"/>
        </w:rPr>
        <w:t xml:space="preserve"> MODEL</w:t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-291465</wp:posOffset>
                </wp:positionH>
                <wp:positionV relativeFrom="paragraph">
                  <wp:posOffset>12700</wp:posOffset>
                </wp:positionV>
                <wp:extent cx="60579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95pt,1pt" to="454pt,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4"/>
        <w:ind w:hanging="0" w:start="0"/>
        <w:rPr/>
      </w:pPr>
      <w:r>
        <w:rPr/>
        <w:t>TESLA</w:t>
      </w:r>
      <w:r>
        <w:rPr>
          <w:vertAlign w:val="superscript"/>
        </w:rPr>
        <w:t>™</w:t>
      </w:r>
      <w:r>
        <w:rPr>
          <w:b w:val="false"/>
          <w:bCs w:val="false"/>
        </w:rPr>
        <w:t xml:space="preserve"> </w:t>
      </w:r>
      <w:r>
        <w:rPr/>
        <w:t>Model Accuracy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806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3640"/>
        <w:gridCol w:w="1470"/>
        <w:gridCol w:w="1030"/>
        <w:gridCol w:w="960"/>
        <w:gridCol w:w="960"/>
      </w:tblGrid>
      <w:tr>
        <w:trPr>
          <w:trHeight w:val="420" w:hRule="atLeast"/>
        </w:trPr>
        <w:tc>
          <w:tcPr>
            <w:tcW w:w="3640" w:type="dxa"/>
            <w:tcBorders/>
            <w:vAlign w:val="bottom"/>
          </w:tcPr>
          <w:p>
            <w:pPr>
              <w:pStyle w:val="Heading5"/>
              <w:ind w:hanging="0" w:start="0"/>
              <w:rPr>
                <w:rFonts w:ascii="Arial" w:hAnsi="Arial" w:cs="Arial"/>
                <w:szCs w:val="32"/>
              </w:rPr>
            </w:pPr>
            <w:r>
              <w:rPr>
                <w:rFonts w:cs="Arial" w:ascii="Arial" w:hAnsi="Arial"/>
                <w:szCs w:val="32"/>
              </w:rPr>
              <w:t>UNITED STATES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SEE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MAPE</w:t>
            </w:r>
          </w:p>
        </w:tc>
      </w:tr>
      <w:tr>
        <w:trPr>
          <w:trHeight w:val="255" w:hRule="atLeast"/>
        </w:trPr>
        <w:tc>
          <w:tcPr>
            <w:tcW w:w="364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Hourly electricity demand models          (All loads in traditional franchise area)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0.84%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0.99%</w:t>
            </w:r>
          </w:p>
        </w:tc>
      </w:tr>
      <w:tr>
        <w:trPr>
          <w:trHeight w:val="255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Average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0.98%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1.18%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1.16%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1.34%</w:t>
            </w:r>
          </w:p>
        </w:tc>
      </w:tr>
      <w:tr>
        <w:trPr>
          <w:trHeight w:val="255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103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0.68%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0.87%</w:t>
            </w:r>
          </w:p>
        </w:tc>
      </w:tr>
      <w:tr>
        <w:trPr>
          <w:trHeight w:val="255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Average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0.75%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0.93%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0.96%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1.19%</w:t>
            </w:r>
          </w:p>
        </w:tc>
      </w:tr>
      <w:tr>
        <w:trPr>
          <w:trHeight w:val="270" w:hRule="atLeast"/>
        </w:trPr>
        <w:tc>
          <w:tcPr>
            <w:tcW w:w="364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0" w:hRule="atLeast"/>
        </w:trPr>
        <w:tc>
          <w:tcPr>
            <w:tcW w:w="364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PJM pool model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0.73%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0.78%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0.57%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0.73%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England ISO pool model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0.77%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0.90%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0.63%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0.79%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 pool model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0.76%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0.74%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0.54%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0.67%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California pool model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0.90%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0.91%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0.64%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0.80%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ERCOT pool model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Medium-term performance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0.88%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0.98%</w:t>
            </w:r>
          </w:p>
        </w:tc>
      </w:tr>
      <w:tr>
        <w:trPr>
          <w:trHeight w:val="270" w:hRule="atLeast"/>
        </w:trPr>
        <w:tc>
          <w:tcPr>
            <w:tcW w:w="364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Short-term performance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0.67%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0.90%</w:t>
            </w:r>
          </w:p>
        </w:tc>
      </w:tr>
      <w:tr>
        <w:trPr>
          <w:trHeight w:val="255" w:hRule="atLeast"/>
        </w:trPr>
        <w:tc>
          <w:tcPr>
            <w:tcW w:w="364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0" w:hRule="atLeast"/>
        </w:trPr>
        <w:tc>
          <w:tcPr>
            <w:tcW w:w="3640" w:type="dxa"/>
            <w:tcBorders>
              <w:bottom w:val="single" w:sz="8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rFonts w:ascii="Arial" w:hAnsi="Arial" w:cs="Arial"/>
                <w:szCs w:val="32"/>
              </w:rPr>
            </w:pPr>
            <w:r>
              <w:rPr>
                <w:rFonts w:cs="Arial" w:ascii="Arial" w:hAnsi="Arial"/>
                <w:szCs w:val="32"/>
              </w:rPr>
              <w:t>UNITED KINGDOM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SEE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MAPE</w:t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Half-hourly electricity demand models                                 (All loads in traditional REC franchise area)</w:t>
            </w:r>
          </w:p>
        </w:tc>
        <w:tc>
          <w:tcPr>
            <w:tcW w:w="103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0.73%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0.85%</w:t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Average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1.06%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1.19%</w:t>
            </w:r>
          </w:p>
        </w:tc>
      </w:tr>
      <w:tr>
        <w:trPr>
          <w:trHeight w:val="270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1.43%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1.63%</w:t>
            </w:r>
          </w:p>
        </w:tc>
      </w:tr>
      <w:tr>
        <w:trPr>
          <w:trHeight w:val="145" w:hRule="atLeast"/>
        </w:trPr>
        <w:tc>
          <w:tcPr>
            <w:tcW w:w="364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Half-hourly electricity demand models                            (Competitive market models,                                               all loads in or out of the franchise area)</w:t>
            </w:r>
          </w:p>
        </w:tc>
        <w:tc>
          <w:tcPr>
            <w:tcW w:w="10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</w:t>
            </w:r>
          </w:p>
        </w:tc>
        <w:tc>
          <w:tcPr>
            <w:tcW w:w="9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1.09%</w:t>
            </w:r>
          </w:p>
        </w:tc>
        <w:tc>
          <w:tcPr>
            <w:tcW w:w="9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1.32%</w:t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Average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1.29%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1.47%</w:t>
            </w:r>
          </w:p>
        </w:tc>
      </w:tr>
      <w:tr>
        <w:trPr>
          <w:trHeight w:val="270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1.60%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1.77%</w:t>
            </w:r>
          </w:p>
        </w:tc>
      </w:tr>
      <w:tr>
        <w:trPr>
          <w:trHeight w:val="127" w:hRule="atLeast"/>
        </w:trPr>
        <w:tc>
          <w:tcPr>
            <w:tcW w:w="364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Half-hourly electricity demand models                          (National aggregate load categories)</w:t>
            </w:r>
          </w:p>
        </w:tc>
        <w:tc>
          <w:tcPr>
            <w:tcW w:w="103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0.97%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1.03%</w:t>
            </w:r>
          </w:p>
        </w:tc>
      </w:tr>
      <w:tr>
        <w:trPr>
          <w:trHeight w:val="255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Average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0.99%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1.05%</w:t>
            </w:r>
          </w:p>
        </w:tc>
      </w:tr>
      <w:tr>
        <w:trPr>
          <w:trHeight w:val="270" w:hRule="atLeast"/>
        </w:trPr>
        <w:tc>
          <w:tcPr>
            <w:tcW w:w="511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30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1.10%</w:t>
            </w:r>
          </w:p>
        </w:tc>
        <w:tc>
          <w:tcPr>
            <w:tcW w:w="9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1.13%</w:t>
            </w:r>
          </w:p>
        </w:tc>
      </w:tr>
      <w:tr>
        <w:trPr>
          <w:trHeight w:val="412" w:hRule="atLeast"/>
        </w:trPr>
        <w:tc>
          <w:tcPr>
            <w:tcW w:w="6140" w:type="dxa"/>
            <w:gridSpan w:val="3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SEE is the standard error of estimate as a percentage of peak load.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6140" w:type="dxa"/>
            <w:gridSpan w:val="3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MAPE is the mean average percentage error of model fitted loads.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806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Short-term (1-3 day) accuracy is computed assuming availability of recent actual load.</w:t>
            </w:r>
          </w:p>
        </w:tc>
      </w:tr>
      <w:tr>
        <w:trPr>
          <w:trHeight w:val="255" w:hRule="atLeast"/>
        </w:trPr>
        <w:tc>
          <w:tcPr>
            <w:tcW w:w="710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These figures are model error statistics, computed using actual weather.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-291465</wp:posOffset>
                </wp:positionH>
                <wp:positionV relativeFrom="paragraph">
                  <wp:posOffset>147320</wp:posOffset>
                </wp:positionV>
                <wp:extent cx="60579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95pt,11.6pt" to="454pt,1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jc w:val="center"/>
        <w:rPr>
          <w:sz w:val="20"/>
        </w:rPr>
      </w:pPr>
      <w:r>
        <w:rPr>
          <w:sz w:val="20"/>
        </w:rPr>
        <w:t>TESLA, Inc.   6417 Loisdale Road, Suite 200   Springfield, VA  22150  USA   (703) 971-5062</w:t>
      </w:r>
    </w:p>
    <w:p>
      <w:pPr>
        <w:pStyle w:val="BodyText"/>
        <w:jc w:val="center"/>
        <w:rPr/>
      </w:pPr>
      <w:hyperlink r:id="rId2">
        <w:r>
          <w:rPr>
            <w:rStyle w:val="Hyperlink"/>
            <w:color w:val="000000"/>
            <w:sz w:val="20"/>
          </w:rPr>
          <w:t>info@teslaforecast.com</w:t>
        </w:r>
      </w:hyperlink>
      <w:r>
        <w:rPr>
          <w:sz w:val="20"/>
        </w:rPr>
        <w:t xml:space="preserve">      </w:t>
        <w:tab/>
      </w:r>
      <w:hyperlink r:id="rId3">
        <w:r>
          <w:rPr>
            <w:rStyle w:val="Hyperlink"/>
            <w:color w:val="000000"/>
            <w:sz w:val="20"/>
          </w:rPr>
          <w:t>www.teslaforecast.com</w:t>
        </w:r>
      </w:hyperlink>
    </w:p>
    <w:sectPr>
      <w:footerReference w:type="default" r:id="rId4"/>
      <w:type w:val="nextPage"/>
      <w:pgSz w:w="12240" w:h="15840"/>
      <w:pgMar w:left="1800" w:right="1800" w:gutter="0" w:header="0" w:top="1152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Rev. 05/01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eslaforecasts.com" TargetMode="External"/><Relationship Id="rId3" Type="http://schemas.openxmlformats.org/officeDocument/2006/relationships/hyperlink" Target="http://www.teslaforecasts.com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2001-06-03T20:49:00Z</dcterms:created>
  <dc:creator>John Sneed</dc:creator>
  <dc:description/>
  <dc:language>en-CA</dc:language>
  <cp:lastModifiedBy>Unknown User</cp:lastModifiedBy>
  <cp:lastPrinted>2001-06-03T19:20:00Z</cp:lastPrinted>
  <dcterms:modified xsi:type="dcterms:W3CDTF">2001-06-03T21:00:00Z</dcterms:modified>
  <cp:revision>4</cp:revision>
  <dc:subject/>
  <dc:title>THE TESLA™ OUTAGES MODEL</dc:title>
</cp:coreProperties>
</file>