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val="false"/>
          <w:i w:val="false"/>
          <w:sz w:val="32"/>
          <w:u w:val="none"/>
        </w:rPr>
      </w:pPr>
      <w:r>
        <w:rPr>
          <w:i w:val="false"/>
          <w:sz w:val="32"/>
          <w:u w:val="none"/>
        </w:rPr>
        <w:t xml:space="preserve">DISCUSSION OF PROPOSED SOLUTION TO </w:t>
        <w:br/>
        <w:t>MoPEP TAGGING PROBLEM</w:t>
      </w:r>
    </w:p>
    <w:p>
      <w:pPr>
        <w:pStyle w:val="Normal"/>
        <w:rPr>
          <w:rFonts w:ascii="Arial" w:hAnsi="Arial" w:cs="Arial"/>
          <w:i/>
          <w:i/>
          <w:sz w:val="22"/>
          <w:u w:val="none"/>
        </w:rPr>
      </w:pPr>
      <w:r>
        <w:rPr>
          <w:rFonts w:cs="Arial" w:ascii="Arial" w:hAnsi="Arial"/>
          <w:i/>
          <w:sz w:val="22"/>
          <w:u w:val="none"/>
        </w:rPr>
      </w:r>
    </w:p>
    <w:p>
      <w:pPr>
        <w:pStyle w:val="Heading1"/>
        <w:spacing w:before="240" w:after="240"/>
        <w:ind w:hanging="0" w:start="0"/>
        <w:rPr>
          <w:sz w:val="28"/>
        </w:rPr>
      </w:pPr>
      <w:r>
        <w:rPr>
          <w:sz w:val="28"/>
        </w:rPr>
        <w:t>BACKGROUND</w:t>
      </w:r>
    </w:p>
    <w:p>
      <w:pPr>
        <w:pStyle w:val="Heading1"/>
        <w:numPr>
          <w:ilvl w:val="0"/>
          <w:numId w:val="2"/>
        </w:numPr>
        <w:jc w:val="start"/>
        <w:rPr>
          <w:b w:val="false"/>
          <w:i w:val="false"/>
          <w:i w:val="false"/>
          <w:u w:val="none"/>
        </w:rPr>
      </w:pPr>
      <w:r>
        <w:rPr>
          <w:b w:val="false"/>
          <w:i w:val="false"/>
          <w:u w:val="none"/>
        </w:rPr>
        <w:t xml:space="preserve">The Missouri Public Energy Pool (MoPEP) serves 19 municipal electric systems that are geographically located within, and connected to the transmission system of, Associated Electric Cooperative (AECI). </w:t>
      </w:r>
    </w:p>
    <w:p>
      <w:pPr>
        <w:pStyle w:val="Normal"/>
        <w:numPr>
          <w:ilvl w:val="1"/>
          <w:numId w:val="2"/>
        </w:numPr>
        <w:spacing w:before="0" w:after="120"/>
        <w:rPr>
          <w:rFonts w:ascii="Arial" w:hAnsi="Arial" w:cs="Arial"/>
          <w:sz w:val="24"/>
        </w:rPr>
      </w:pPr>
      <w:r>
        <w:rPr>
          <w:rFonts w:cs="Arial" w:ascii="Arial" w:hAnsi="Arial"/>
          <w:sz w:val="24"/>
        </w:rPr>
        <w:t>The MoPEP cities’ combined peak load in 2000 was 188 MW.</w:t>
      </w:r>
    </w:p>
    <w:p>
      <w:pPr>
        <w:pStyle w:val="Normal"/>
        <w:numPr>
          <w:ilvl w:val="1"/>
          <w:numId w:val="2"/>
        </w:numPr>
        <w:spacing w:before="0" w:after="120"/>
        <w:rPr>
          <w:rFonts w:ascii="Arial" w:hAnsi="Arial" w:cs="Arial"/>
          <w:sz w:val="24"/>
        </w:rPr>
      </w:pPr>
      <w:r>
        <w:rPr>
          <w:rFonts w:cs="Arial" w:ascii="Arial" w:hAnsi="Arial"/>
          <w:sz w:val="24"/>
        </w:rPr>
        <w:t>The MoPEP cities own and operate 220 MW of local generation.  They also purchase additional capacity and energy under contract.</w:t>
      </w:r>
    </w:p>
    <w:p>
      <w:pPr>
        <w:pStyle w:val="Normal"/>
        <w:numPr>
          <w:ilvl w:val="1"/>
          <w:numId w:val="2"/>
        </w:numPr>
        <w:spacing w:before="0" w:after="120"/>
        <w:rPr>
          <w:rFonts w:ascii="Arial" w:hAnsi="Arial" w:cs="Arial"/>
          <w:sz w:val="24"/>
        </w:rPr>
      </w:pPr>
      <w:r>
        <w:rPr>
          <w:rFonts w:cs="Arial" w:ascii="Arial" w:hAnsi="Arial"/>
          <w:sz w:val="24"/>
        </w:rPr>
        <w:t xml:space="preserve">Between 80 MW and 140 MW of the MoPEP cities’ generation can be started </w:t>
      </w:r>
      <w:r>
        <w:rPr>
          <w:rFonts w:cs="Arial" w:ascii="Arial" w:hAnsi="Arial"/>
          <w:sz w:val="24"/>
          <w:u w:val="single"/>
        </w:rPr>
        <w:t>within ten minutes of notice of a curtailment</w:t>
      </w:r>
      <w:r>
        <w:rPr>
          <w:rFonts w:cs="Arial" w:ascii="Arial" w:hAnsi="Arial"/>
          <w:sz w:val="24"/>
        </w:rPr>
        <w:t>.</w:t>
      </w:r>
    </w:p>
    <w:p>
      <w:pPr>
        <w:pStyle w:val="Normal"/>
        <w:numPr>
          <w:ilvl w:val="0"/>
          <w:numId w:val="2"/>
        </w:numPr>
        <w:spacing w:before="0" w:after="120"/>
        <w:rPr>
          <w:rFonts w:ascii="Arial" w:hAnsi="Arial" w:cs="Arial"/>
          <w:sz w:val="24"/>
        </w:rPr>
      </w:pPr>
      <w:r>
        <w:rPr>
          <w:rFonts w:cs="Arial" w:ascii="Arial" w:hAnsi="Arial"/>
          <w:sz w:val="24"/>
        </w:rPr>
        <w:t xml:space="preserve">MoPEP purchases certain control area services from Western Resources, Inc. (WR).   Specifically, MoPEP purchases scheduling service, regulation service, energy imbalance service, and spinning reserve service from WR.  </w:t>
      </w:r>
    </w:p>
    <w:p>
      <w:pPr>
        <w:pStyle w:val="Normal"/>
        <w:numPr>
          <w:ilvl w:val="1"/>
          <w:numId w:val="2"/>
        </w:numPr>
        <w:spacing w:before="0" w:after="120"/>
        <w:rPr>
          <w:rFonts w:ascii="Arial" w:hAnsi="Arial" w:cs="Arial"/>
          <w:sz w:val="24"/>
        </w:rPr>
      </w:pPr>
      <w:r>
        <w:rPr>
          <w:rFonts w:cs="Arial" w:ascii="Arial" w:hAnsi="Arial"/>
          <w:sz w:val="24"/>
        </w:rPr>
        <w:t xml:space="preserve">MoPEP provides its own supplemental reserves from generation owned by the MoPEP members.  </w:t>
      </w:r>
    </w:p>
    <w:p>
      <w:pPr>
        <w:pStyle w:val="Normal"/>
        <w:numPr>
          <w:ilvl w:val="1"/>
          <w:numId w:val="2"/>
        </w:numPr>
        <w:spacing w:before="0" w:after="120"/>
        <w:rPr>
          <w:rFonts w:ascii="Arial" w:hAnsi="Arial" w:cs="Arial"/>
          <w:sz w:val="24"/>
        </w:rPr>
      </w:pPr>
      <w:r>
        <w:rPr>
          <w:rFonts w:cs="Arial" w:ascii="Arial" w:hAnsi="Arial"/>
          <w:sz w:val="24"/>
        </w:rPr>
        <w:t xml:space="preserve">To effectuate this arrangement, commencing June 1, 2000, WR electronically included the MoPEP loads in its control area.  From that date forward, tags to the MoPEP loads were required to identify WR as the sink instead of AECI. </w:t>
      </w:r>
    </w:p>
    <w:p>
      <w:pPr>
        <w:pStyle w:val="Normal"/>
        <w:numPr>
          <w:ilvl w:val="0"/>
          <w:numId w:val="2"/>
        </w:numPr>
        <w:spacing w:before="0" w:after="120"/>
        <w:rPr>
          <w:rFonts w:ascii="Arial" w:hAnsi="Arial" w:cs="Arial"/>
          <w:sz w:val="24"/>
        </w:rPr>
      </w:pPr>
      <w:r>
        <w:rPr>
          <w:rFonts w:cs="Arial" w:ascii="Arial" w:hAnsi="Arial"/>
          <w:sz w:val="24"/>
        </w:rPr>
        <w:t>MoPEP has a contract to purchase firm energy (up to 40 MW/hr) from Enron Power Marketing.  The contract specifies AECI as the physical delivery point.  MoPEP purchases transmission service from AECI to transmit deliveries of, among other things, energy from Enron to the MoPEP cities.</w:t>
      </w:r>
    </w:p>
    <w:p>
      <w:pPr>
        <w:pStyle w:val="Normal"/>
        <w:numPr>
          <w:ilvl w:val="1"/>
          <w:numId w:val="2"/>
        </w:numPr>
        <w:spacing w:before="0" w:after="120"/>
        <w:rPr>
          <w:rFonts w:ascii="Arial" w:hAnsi="Arial" w:cs="Arial"/>
          <w:sz w:val="24"/>
        </w:rPr>
      </w:pPr>
      <w:r>
        <w:rPr>
          <w:rFonts w:cs="Arial" w:ascii="Arial" w:hAnsi="Arial"/>
          <w:sz w:val="24"/>
        </w:rPr>
        <w:t>From the commencement of deliveries under the Enron contract on January 1, 2000, deliveries were tagged with AECI as the sink.</w:t>
      </w:r>
    </w:p>
    <w:p>
      <w:pPr>
        <w:pStyle w:val="Normal"/>
        <w:numPr>
          <w:ilvl w:val="1"/>
          <w:numId w:val="2"/>
        </w:numPr>
        <w:spacing w:before="0" w:after="120"/>
        <w:rPr>
          <w:rFonts w:ascii="Arial" w:hAnsi="Arial" w:cs="Arial"/>
          <w:sz w:val="24"/>
        </w:rPr>
      </w:pPr>
      <w:r>
        <w:rPr>
          <w:rFonts w:cs="Arial" w:ascii="Arial" w:hAnsi="Arial"/>
          <w:sz w:val="24"/>
        </w:rPr>
        <w:t>Beginning June 1, 2000, when WR became the supplier of certain control area services for MoPEP, AECI rejected the tags for the Enron energy deliveries on the ground that the MoPEP load was no longer part of the AECI control area.</w:t>
      </w:r>
    </w:p>
    <w:p>
      <w:pPr>
        <w:pStyle w:val="Normal"/>
        <w:numPr>
          <w:ilvl w:val="1"/>
          <w:numId w:val="2"/>
        </w:numPr>
        <w:spacing w:before="0" w:after="120"/>
        <w:rPr>
          <w:rFonts w:ascii="Arial" w:hAnsi="Arial" w:cs="Arial"/>
          <w:sz w:val="24"/>
        </w:rPr>
      </w:pPr>
      <w:r>
        <w:rPr>
          <w:rFonts w:cs="Arial" w:ascii="Arial" w:hAnsi="Arial"/>
          <w:sz w:val="24"/>
        </w:rPr>
        <w:t xml:space="preserve">As an interim measure, the tag was modified to identify WR as the sink. </w:t>
      </w:r>
    </w:p>
    <w:p>
      <w:pPr>
        <w:pStyle w:val="Heading1"/>
        <w:spacing w:before="0" w:after="240"/>
        <w:ind w:hanging="0" w:start="0"/>
        <w:rPr>
          <w:sz w:val="28"/>
        </w:rPr>
      </w:pPr>
      <w:r>
        <w:rPr>
          <w:sz w:val="28"/>
        </w:rPr>
        <w:t>THE PROBLEM</w:t>
      </w:r>
    </w:p>
    <w:p>
      <w:pPr>
        <w:pStyle w:val="Normal"/>
        <w:keepNext w:val="true"/>
        <w:numPr>
          <w:ilvl w:val="0"/>
          <w:numId w:val="3"/>
        </w:numPr>
        <w:spacing w:before="0" w:after="120"/>
        <w:rPr>
          <w:rFonts w:ascii="Arial" w:hAnsi="Arial" w:cs="Arial"/>
          <w:sz w:val="24"/>
        </w:rPr>
      </w:pPr>
      <w:r>
        <w:rPr>
          <w:rFonts w:cs="Arial" w:ascii="Arial" w:hAnsi="Arial"/>
          <w:sz w:val="24"/>
        </w:rPr>
        <w:t>Tagging MoPEP transactions with a sink in WR results in an incorrect modeling of the transaction in the IDC.</w:t>
      </w:r>
    </w:p>
    <w:p>
      <w:pPr>
        <w:pStyle w:val="Normal"/>
        <w:numPr>
          <w:ilvl w:val="1"/>
          <w:numId w:val="2"/>
        </w:numPr>
        <w:spacing w:before="0" w:after="120"/>
        <w:rPr>
          <w:rFonts w:ascii="Arial" w:hAnsi="Arial" w:cs="Arial"/>
          <w:sz w:val="24"/>
        </w:rPr>
      </w:pPr>
      <w:r>
        <w:rPr>
          <w:rFonts w:cs="Arial" w:ascii="Arial" w:hAnsi="Arial"/>
          <w:sz w:val="24"/>
        </w:rPr>
        <w:t>The MoPEP cities are located in Missouri, on the AECI transmission system.  Tagging the MoPEP load with a sink control area in WR results in the transaction being modeled in the IDC as though the MoPEP cities have physically moved to Kansas.  This, in turn, has the result of incorrectly reflecting the impact that deliveries to or sales from the MoPEP cities may have on regional flowgates.</w:t>
      </w:r>
    </w:p>
    <w:p>
      <w:pPr>
        <w:pStyle w:val="Normal"/>
        <w:numPr>
          <w:ilvl w:val="1"/>
          <w:numId w:val="3"/>
        </w:numPr>
        <w:rPr>
          <w:rFonts w:ascii="Arial" w:hAnsi="Arial" w:cs="Arial"/>
          <w:sz w:val="24"/>
        </w:rPr>
      </w:pPr>
      <w:r>
        <w:rPr>
          <w:rFonts w:cs="Arial" w:ascii="Arial" w:hAnsi="Arial"/>
          <w:sz w:val="24"/>
        </w:rPr>
        <w:t xml:space="preserve">A change in how a transaction is tagged based solely on the purchase of certain control area services creates a mismatch between the sink control area shown on the tag (and used for IDC purposes) and the physical location of the load.  </w:t>
      </w:r>
    </w:p>
    <w:p>
      <w:pPr>
        <w:pStyle w:val="Normal"/>
        <w:numPr>
          <w:ilvl w:val="2"/>
          <w:numId w:val="2"/>
        </w:numPr>
        <w:spacing w:before="120" w:after="120"/>
        <w:rPr>
          <w:rFonts w:ascii="Arial" w:hAnsi="Arial" w:cs="Arial"/>
          <w:sz w:val="24"/>
        </w:rPr>
      </w:pPr>
      <w:r>
        <w:rPr>
          <w:rFonts w:cs="Arial" w:ascii="Arial" w:hAnsi="Arial"/>
          <w:sz w:val="24"/>
        </w:rPr>
        <w:t xml:space="preserve">As a consequence, there may be times when a transaction to MoPEP should have curtailed but was not due to the mismatch of information between the tag and reality.  Conversely, deliveries to MoPEP load may be curtailed when they do not adversely affect the overloaded facilities, resulting in curtailments that do not achieve the desired beneficial effects on the constrained flowgates. </w:t>
      </w:r>
    </w:p>
    <w:p>
      <w:pPr>
        <w:pStyle w:val="Normal"/>
        <w:numPr>
          <w:ilvl w:val="2"/>
          <w:numId w:val="2"/>
        </w:numPr>
        <w:spacing w:before="0" w:after="120"/>
        <w:rPr>
          <w:rFonts w:ascii="Arial" w:hAnsi="Arial" w:cs="Arial"/>
          <w:sz w:val="24"/>
        </w:rPr>
      </w:pPr>
      <w:r>
        <w:rPr>
          <w:rFonts w:cs="Arial" w:ascii="Arial" w:hAnsi="Arial"/>
          <w:sz w:val="24"/>
        </w:rPr>
        <w:t xml:space="preserve">As a further consequence of the mismatch between the sink control area and the physical location of the load, curtailments can actually create counterflows that worsen rather than relieve congestion across constrained flowgates. </w:t>
      </w:r>
    </w:p>
    <w:p>
      <w:pPr>
        <w:pStyle w:val="Normal"/>
        <w:numPr>
          <w:ilvl w:val="2"/>
          <w:numId w:val="2"/>
        </w:numPr>
        <w:spacing w:before="0" w:after="120"/>
        <w:rPr>
          <w:rFonts w:ascii="Arial" w:hAnsi="Arial" w:cs="Arial"/>
          <w:sz w:val="24"/>
        </w:rPr>
      </w:pPr>
      <w:r>
        <w:rPr>
          <w:rFonts w:cs="Arial" w:ascii="Arial" w:hAnsi="Arial"/>
          <w:sz w:val="24"/>
        </w:rPr>
        <w:t>Transactions between WR and the MoPEP cities are not currently subject to TLR since the source and sink control areas are the same and the IDC would show zero impacts from such a transaction even though the transaction may, in reality, affect multiple flowgates.</w:t>
      </w:r>
    </w:p>
    <w:p>
      <w:pPr>
        <w:pStyle w:val="Normal"/>
        <w:numPr>
          <w:ilvl w:val="2"/>
          <w:numId w:val="2"/>
        </w:numPr>
        <w:spacing w:before="0" w:after="120"/>
        <w:rPr>
          <w:rFonts w:ascii="Arial" w:hAnsi="Arial" w:cs="Arial"/>
          <w:sz w:val="24"/>
        </w:rPr>
      </w:pPr>
      <w:r>
        <w:rPr>
          <w:rFonts w:cs="Arial" w:ascii="Arial" w:hAnsi="Arial"/>
          <w:sz w:val="24"/>
        </w:rPr>
        <w:t>In sum, tagging the MoPEP load with a sink control area in WR prevents accurate assessment of the impacts of MoPEP transactions in the IDC.  This can impair the reliability.</w:t>
      </w:r>
    </w:p>
    <w:p>
      <w:pPr>
        <w:pStyle w:val="Normal"/>
        <w:numPr>
          <w:ilvl w:val="1"/>
          <w:numId w:val="2"/>
        </w:numPr>
        <w:spacing w:before="0" w:after="120"/>
        <w:rPr>
          <w:rFonts w:ascii="Arial" w:hAnsi="Arial" w:cs="Arial"/>
          <w:sz w:val="24"/>
        </w:rPr>
      </w:pPr>
      <w:r>
        <w:rPr>
          <w:rFonts w:cs="Arial" w:ascii="Arial" w:hAnsi="Arial"/>
          <w:sz w:val="24"/>
        </w:rPr>
        <w:t xml:space="preserve">A change in tagging based solely on the purchase of certain control area services also creates a mismatch with pre-existing transmission reservations, and can result in unnecessary contract disputes. </w:t>
      </w:r>
    </w:p>
    <w:p>
      <w:pPr>
        <w:pStyle w:val="Normal"/>
        <w:numPr>
          <w:ilvl w:val="0"/>
          <w:numId w:val="3"/>
        </w:numPr>
        <w:spacing w:before="0" w:after="120"/>
        <w:rPr>
          <w:rFonts w:ascii="Arial" w:hAnsi="Arial" w:cs="Arial"/>
          <w:sz w:val="24"/>
        </w:rPr>
      </w:pPr>
      <w:r>
        <w:rPr>
          <w:rFonts w:cs="Arial" w:ascii="Arial" w:hAnsi="Arial"/>
          <w:sz w:val="24"/>
        </w:rPr>
        <w:t>Requiring tags to show the control area supplying ancillary services as the sink, as opposed to permitting another identifier that gives information regarding the transaction’s true impact on the network, creates obstacles to development of a competitive market for ancillary services.</w:t>
      </w:r>
    </w:p>
    <w:p>
      <w:pPr>
        <w:pStyle w:val="Heading1"/>
        <w:spacing w:before="240" w:after="240"/>
        <w:ind w:hanging="0" w:start="0"/>
        <w:rPr>
          <w:sz w:val="28"/>
        </w:rPr>
      </w:pPr>
      <w:r>
        <w:rPr>
          <w:sz w:val="28"/>
        </w:rPr>
        <w:t>THE PROPOSED SOLUTION</w:t>
      </w:r>
    </w:p>
    <w:p>
      <w:pPr>
        <w:pStyle w:val="Normal"/>
        <w:numPr>
          <w:ilvl w:val="0"/>
          <w:numId w:val="2"/>
        </w:numPr>
        <w:spacing w:before="0" w:after="240"/>
        <w:rPr>
          <w:rFonts w:ascii="Arial" w:hAnsi="Arial" w:cs="Arial"/>
          <w:sz w:val="24"/>
        </w:rPr>
      </w:pPr>
      <w:r>
        <w:rPr>
          <w:rFonts w:cs="Arial" w:ascii="Arial" w:hAnsi="Arial"/>
          <w:sz w:val="24"/>
        </w:rPr>
        <w:t>In the IDC, distinguish the MoPEP cities as a discrete entity in the AECI area, with power distribution factors that are representative of flows over those transmission facilities affected by the MoPEP load.</w:t>
      </w:r>
    </w:p>
    <w:p>
      <w:pPr>
        <w:pStyle w:val="Normal"/>
        <w:numPr>
          <w:ilvl w:val="0"/>
          <w:numId w:val="2"/>
        </w:numPr>
        <w:spacing w:before="0" w:after="240"/>
        <w:rPr>
          <w:rFonts w:ascii="Arial" w:hAnsi="Arial" w:cs="Arial"/>
          <w:sz w:val="24"/>
        </w:rPr>
      </w:pPr>
      <w:r>
        <w:rPr>
          <w:rFonts w:cs="Arial" w:ascii="Arial" w:hAnsi="Arial"/>
          <w:sz w:val="24"/>
        </w:rPr>
        <w:t xml:space="preserve">Utilize this identification on tags for MoPEP transactions so Security Coordinators and the IDC can properly reflect their impacts. </w:t>
      </w:r>
    </w:p>
    <w:p>
      <w:pPr>
        <w:pStyle w:val="Heading1"/>
        <w:spacing w:before="0" w:after="240"/>
        <w:ind w:hanging="0" w:start="0"/>
        <w:rPr>
          <w:sz w:val="28"/>
        </w:rPr>
      </w:pPr>
      <w:r>
        <w:rPr>
          <w:sz w:val="28"/>
        </w:rPr>
        <w:t>CONSIDERATIONS RELATING TO THE PROPOSED SOLUTION</w:t>
      </w:r>
    </w:p>
    <w:p>
      <w:pPr>
        <w:pStyle w:val="Normal"/>
        <w:keepNext w:val="true"/>
        <w:numPr>
          <w:ilvl w:val="0"/>
          <w:numId w:val="2"/>
        </w:numPr>
        <w:spacing w:before="0" w:after="120"/>
        <w:rPr>
          <w:rFonts w:ascii="Arial" w:hAnsi="Arial" w:cs="Arial"/>
          <w:sz w:val="24"/>
        </w:rPr>
      </w:pPr>
      <w:r>
        <w:rPr>
          <w:rFonts w:cs="Arial" w:ascii="Arial" w:hAnsi="Arial"/>
          <w:sz w:val="24"/>
        </w:rPr>
        <w:t>The proposed solution will produce more meaningful and useful IDC results.</w:t>
      </w:r>
    </w:p>
    <w:p>
      <w:pPr>
        <w:pStyle w:val="Normal"/>
        <w:keepNext w:val="true"/>
        <w:numPr>
          <w:ilvl w:val="1"/>
          <w:numId w:val="2"/>
        </w:numPr>
        <w:spacing w:before="0" w:after="120"/>
        <w:rPr>
          <w:rFonts w:ascii="Arial" w:hAnsi="Arial" w:cs="Arial"/>
          <w:sz w:val="24"/>
        </w:rPr>
      </w:pPr>
      <w:r>
        <w:rPr>
          <w:rFonts w:cs="Arial" w:ascii="Arial" w:hAnsi="Arial"/>
          <w:sz w:val="24"/>
        </w:rPr>
        <w:t>The proposed solution better reflects the physical realities of the MoPEP load, including the facts that:</w:t>
      </w:r>
    </w:p>
    <w:p>
      <w:pPr>
        <w:pStyle w:val="Normal"/>
        <w:numPr>
          <w:ilvl w:val="2"/>
          <w:numId w:val="2"/>
        </w:numPr>
        <w:spacing w:before="0" w:after="120"/>
        <w:rPr>
          <w:rFonts w:ascii="Arial" w:hAnsi="Arial" w:cs="Arial"/>
          <w:sz w:val="24"/>
        </w:rPr>
      </w:pPr>
      <w:r>
        <w:rPr>
          <w:rFonts w:cs="Arial" w:ascii="Arial" w:hAnsi="Arial"/>
          <w:sz w:val="24"/>
        </w:rPr>
        <w:t xml:space="preserve">energy deliveries to the MoPEP load will continue to utilize the AECI transmission system, to which MoPEP cities are still physically connected; </w:t>
      </w:r>
    </w:p>
    <w:p>
      <w:pPr>
        <w:pStyle w:val="Normal"/>
        <w:numPr>
          <w:ilvl w:val="2"/>
          <w:numId w:val="2"/>
        </w:numPr>
        <w:spacing w:before="0" w:after="120"/>
        <w:rPr>
          <w:rFonts w:ascii="Arial" w:hAnsi="Arial" w:cs="Arial"/>
          <w:sz w:val="24"/>
        </w:rPr>
      </w:pPr>
      <w:r>
        <w:rPr>
          <w:rFonts w:cs="Arial" w:ascii="Arial" w:hAnsi="Arial"/>
          <w:sz w:val="24"/>
        </w:rPr>
        <w:t xml:space="preserve">in the event of a TLR or other curtailment, it is MoPEP generation within the MoPEP cities that will replace the curtailed deliveries; </w:t>
      </w:r>
    </w:p>
    <w:p>
      <w:pPr>
        <w:pStyle w:val="Normal"/>
        <w:numPr>
          <w:ilvl w:val="2"/>
          <w:numId w:val="2"/>
        </w:numPr>
        <w:spacing w:before="0" w:after="120"/>
        <w:rPr>
          <w:rFonts w:ascii="Arial" w:hAnsi="Arial" w:cs="Arial"/>
          <w:sz w:val="24"/>
        </w:rPr>
      </w:pPr>
      <w:r>
        <w:rPr>
          <w:rFonts w:cs="Arial" w:ascii="Arial" w:hAnsi="Arial"/>
          <w:sz w:val="24"/>
        </w:rPr>
        <w:t>there exists a significant physical distance between the MoPEP cities and the WR control area, with multiple flowgates affected differently by transactions involving one or the other.</w:t>
      </w:r>
    </w:p>
    <w:p>
      <w:pPr>
        <w:pStyle w:val="Normal"/>
        <w:numPr>
          <w:ilvl w:val="1"/>
          <w:numId w:val="2"/>
        </w:numPr>
        <w:spacing w:before="0" w:after="120"/>
        <w:rPr>
          <w:rFonts w:ascii="Arial" w:hAnsi="Arial" w:cs="Arial"/>
          <w:sz w:val="24"/>
        </w:rPr>
      </w:pPr>
      <w:r>
        <w:rPr>
          <w:rFonts w:cs="Arial" w:ascii="Arial" w:hAnsi="Arial"/>
          <w:sz w:val="24"/>
        </w:rPr>
        <w:t>The proposed solution will end the incorrect modeling of the MoPEP load, with the attendant possibilities for useless or counterproductive curtailments and disruption of commercial relationships.</w:t>
      </w:r>
    </w:p>
    <w:p>
      <w:pPr>
        <w:pStyle w:val="Normal"/>
        <w:numPr>
          <w:ilvl w:val="0"/>
          <w:numId w:val="2"/>
        </w:numPr>
        <w:spacing w:before="0" w:after="120"/>
        <w:rPr>
          <w:rFonts w:ascii="Arial" w:hAnsi="Arial" w:cs="Arial"/>
          <w:sz w:val="24"/>
        </w:rPr>
      </w:pPr>
      <w:r>
        <w:rPr>
          <w:rFonts w:cs="Arial" w:ascii="Arial" w:hAnsi="Arial"/>
          <w:sz w:val="24"/>
        </w:rPr>
        <w:t>The proposed solution does not prejudice the ongoing consideration of granularity issues.</w:t>
      </w:r>
    </w:p>
    <w:p>
      <w:pPr>
        <w:pStyle w:val="Normal"/>
        <w:numPr>
          <w:ilvl w:val="1"/>
          <w:numId w:val="2"/>
        </w:numPr>
        <w:spacing w:before="0" w:after="120"/>
        <w:rPr>
          <w:rFonts w:ascii="Arial" w:hAnsi="Arial" w:cs="Arial"/>
          <w:sz w:val="24"/>
        </w:rPr>
      </w:pPr>
      <w:r>
        <w:rPr>
          <w:rFonts w:cs="Arial" w:ascii="Arial" w:hAnsi="Arial"/>
          <w:sz w:val="24"/>
        </w:rPr>
        <w:t>The suggested solution operates within the control area level of granularity, but recognizes that the MoPEP load is not properly modeled as part of the WR control area load because:</w:t>
      </w:r>
    </w:p>
    <w:p>
      <w:pPr>
        <w:pStyle w:val="Normal"/>
        <w:numPr>
          <w:ilvl w:val="2"/>
          <w:numId w:val="2"/>
        </w:numPr>
        <w:spacing w:before="0" w:after="120"/>
        <w:rPr>
          <w:rFonts w:ascii="Arial" w:hAnsi="Arial" w:cs="Arial"/>
          <w:sz w:val="24"/>
        </w:rPr>
      </w:pPr>
      <w:r>
        <w:rPr>
          <w:rFonts w:cs="Arial" w:ascii="Arial" w:hAnsi="Arial"/>
          <w:sz w:val="24"/>
        </w:rPr>
        <w:t>only a limited set of control area services are furnished by WR;</w:t>
      </w:r>
    </w:p>
    <w:p>
      <w:pPr>
        <w:pStyle w:val="Normal"/>
        <w:numPr>
          <w:ilvl w:val="2"/>
          <w:numId w:val="2"/>
        </w:numPr>
        <w:spacing w:before="0" w:after="120"/>
        <w:rPr>
          <w:rFonts w:ascii="Arial" w:hAnsi="Arial" w:cs="Arial"/>
          <w:sz w:val="24"/>
        </w:rPr>
      </w:pPr>
      <w:r>
        <w:rPr>
          <w:rFonts w:cs="Arial" w:ascii="Arial" w:hAnsi="Arial"/>
          <w:sz w:val="24"/>
          <w:u w:val="single"/>
        </w:rPr>
        <w:t>MoPEP generation</w:t>
      </w:r>
      <w:r>
        <w:rPr>
          <w:rFonts w:cs="Arial" w:ascii="Arial" w:hAnsi="Arial"/>
          <w:sz w:val="24"/>
        </w:rPr>
        <w:t xml:space="preserve"> replaces curtailed transactions in 10 minutes; </w:t>
      </w:r>
    </w:p>
    <w:p>
      <w:pPr>
        <w:pStyle w:val="Normal"/>
        <w:numPr>
          <w:ilvl w:val="2"/>
          <w:numId w:val="2"/>
        </w:numPr>
        <w:spacing w:before="0" w:after="120"/>
        <w:rPr>
          <w:rFonts w:ascii="Arial" w:hAnsi="Arial" w:cs="Arial"/>
          <w:sz w:val="24"/>
        </w:rPr>
      </w:pPr>
      <w:r>
        <w:rPr>
          <w:rFonts w:cs="Arial" w:ascii="Arial" w:hAnsi="Arial"/>
          <w:sz w:val="24"/>
        </w:rPr>
        <w:t>serious errors in the IDC modeling result from treating the MoPEP load as being in the WR control area.</w:t>
      </w:r>
    </w:p>
    <w:p>
      <w:pPr>
        <w:pStyle w:val="Normal"/>
        <w:numPr>
          <w:ilvl w:val="0"/>
          <w:numId w:val="2"/>
        </w:numPr>
        <w:spacing w:before="0" w:after="120"/>
        <w:rPr>
          <w:rFonts w:ascii="Arial" w:hAnsi="Arial" w:cs="Arial"/>
          <w:sz w:val="24"/>
        </w:rPr>
      </w:pPr>
      <w:r>
        <w:rPr>
          <w:rFonts w:cs="Arial" w:ascii="Arial" w:hAnsi="Arial"/>
          <w:sz w:val="24"/>
        </w:rPr>
        <w:t>The proposed solution will not “open the door” to a flood of similar requests.</w:t>
      </w:r>
    </w:p>
    <w:p>
      <w:pPr>
        <w:pStyle w:val="Normal"/>
        <w:numPr>
          <w:ilvl w:val="1"/>
          <w:numId w:val="2"/>
        </w:numPr>
        <w:rPr>
          <w:rFonts w:ascii="Arial" w:hAnsi="Arial" w:cs="Arial"/>
          <w:sz w:val="24"/>
        </w:rPr>
      </w:pPr>
      <w:r>
        <w:rPr>
          <w:rFonts w:cs="Arial" w:ascii="Arial" w:hAnsi="Arial"/>
          <w:sz w:val="24"/>
        </w:rPr>
        <w:t xml:space="preserve">This is not a situation in which the physical and electronic control areas are the same, and the control area is to be “broken up” into smaller pieces for IDC modeling.  Rather, the proposed solution is applicable only because there is an initial mismatch between the electronic control area for the MoPEP load and the physical location of the MoPEP load. </w:t>
      </w:r>
    </w:p>
    <w:sectPr>
      <w:footerReference w:type="default" r:id="rId2"/>
      <w:footerReference w:type="first" r:id="rId3"/>
      <w:type w:val="nextPage"/>
      <w:pgSz w:w="12240" w:h="15840"/>
      <w:pgMar w:left="1728" w:right="1728"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16.55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648"/>
      </w:pPr>
      <w:rPr>
        <w:rFonts w:ascii="Wingdings" w:hAnsi="Wingdings" w:cs="Wingdings" w:hint="default"/>
      </w:rPr>
    </w:lvl>
    <w:lvl w:ilvl="1">
      <w:start w:val="1"/>
      <w:numFmt w:val="bullet"/>
      <w:lvlText w:val=""/>
      <w:lvlJc w:val="start"/>
      <w:pPr>
        <w:tabs>
          <w:tab w:val="num" w:pos="1440"/>
        </w:tabs>
        <w:ind w:start="1440" w:hanging="864"/>
      </w:pPr>
      <w:rPr>
        <w:rFonts w:ascii="Wingdings" w:hAnsi="Wingdings" w:cs="Wingdings" w:hint="default"/>
      </w:rPr>
    </w:lvl>
    <w:lvl w:ilvl="2">
      <w:start w:val="1"/>
      <w:numFmt w:val="bullet"/>
      <w:lvlText w:val=""/>
      <w:lvlJc w:val="start"/>
      <w:pPr>
        <w:tabs>
          <w:tab w:val="num" w:pos="1728"/>
        </w:tabs>
        <w:ind w:start="1728" w:hanging="576"/>
      </w:pPr>
      <w:rPr>
        <w:rFonts w:ascii="Symbol" w:hAnsi="Symbol" w:cs="Symbol" w:hint="default"/>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bullet"/>
      <w:lvlText w:val=""/>
      <w:lvlJc w:val="start"/>
      <w:pPr>
        <w:tabs>
          <w:tab w:val="num" w:pos="648"/>
        </w:tabs>
        <w:ind w:start="648" w:hanging="648"/>
      </w:pPr>
      <w:rPr>
        <w:rFonts w:ascii="Wingdings" w:hAnsi="Wingdings" w:cs="Wingdings" w:hint="default"/>
      </w:rPr>
    </w:lvl>
    <w:lvl w:ilvl="1">
      <w:start w:val="1"/>
      <w:numFmt w:val="bullet"/>
      <w:lvlText w:val=""/>
      <w:lvlJc w:val="start"/>
      <w:pPr>
        <w:tabs>
          <w:tab w:val="num" w:pos="1440"/>
        </w:tabs>
        <w:ind w:start="1440" w:hanging="864"/>
      </w:pPr>
      <w:rPr>
        <w:rFonts w:ascii="Wingdings" w:hAnsi="Wingdings" w:cs="Wingdings" w:hint="default"/>
      </w:rPr>
    </w:lvl>
    <w:lvl w:ilvl="2">
      <w:start w:val="1"/>
      <w:numFmt w:val="bullet"/>
      <w:lvlText w:val=""/>
      <w:lvlJc w:val="start"/>
      <w:pPr>
        <w:tabs>
          <w:tab w:val="num" w:pos="1728"/>
        </w:tabs>
        <w:ind w:start="1728" w:hanging="576"/>
      </w:pPr>
      <w:rPr>
        <w:rFonts w:ascii="Symbol" w:hAnsi="Symbol" w:cs="Symbol" w:hint="default"/>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i/>
      <w:sz w:val="24"/>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Wingdings" w:hAnsi="Wingdings" w:cs="Wingdings"/>
    </w:rPr>
  </w:style>
  <w:style w:type="character" w:styleId="WW8Num1z2">
    <w:name w:val="WW8Num1z2"/>
    <w:qFormat/>
    <w:rPr>
      <w:rFonts w:ascii="Symbol" w:hAnsi="Symbol" w:cs="Symbol"/>
    </w:rPr>
  </w:style>
  <w:style w:type="character" w:styleId="WW8Num2z0">
    <w:name w:val="WW8Num2z0"/>
    <w:qFormat/>
    <w:rPr>
      <w:rFonts w:ascii="Wingdings" w:hAnsi="Wingdings" w:cs="Wingdings"/>
    </w:rPr>
  </w:style>
  <w:style w:type="character" w:styleId="WW8Num2z2">
    <w:name w:val="WW8Num2z2"/>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IdTag">
    <w:name w:val="DocIdTag"/>
    <w:basedOn w:val="Normal"/>
    <w:qFormat/>
    <w:pPr>
      <w:spacing w:before="360" w:after="120"/>
    </w:pPr>
    <w:rPr>
      <w:rFonts w:ascii="Arial" w:hAnsi="Arial" w:cs="Arial"/>
      <w:color w:val="00FF00"/>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2000-09-25T23:24:00Z</dcterms:created>
  <dc:creator>Gary Newell</dc:creator>
  <dc:description/>
  <dc:language>en-CA</dc:language>
  <cp:lastModifiedBy>Duncan Kincheloe</cp:lastModifiedBy>
  <cp:lastPrinted>2000-09-25T13:52:00Z</cp:lastPrinted>
  <dcterms:modified xsi:type="dcterms:W3CDTF">2000-09-25T23:24:00Z</dcterms:modified>
  <cp:revision>2</cp:revision>
  <dc:subject/>
  <dc:title>BACKGROUND</dc:title>
</cp:coreProperties>
</file>