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Normal"/>
        <w:rPr>
          <w:b/>
          <w:i/>
          <w:i/>
          <w:sz w:val="16"/>
        </w:rPr>
      </w:pPr>
      <w:r>
        <w:rPr>
          <w:b/>
          <w:i/>
          <w:sz w:val="16"/>
        </w:rPr>
        <w:t>Natural Gas, Electricity and Endless Possibilities</w:t>
      </w:r>
    </w:p>
    <w:p>
      <w:pPr>
        <w:pStyle w:val="Heading2"/>
        <w:ind w:hanging="0" w:start="0"/>
        <w:rPr/>
      </w:pPr>
      <w:r>
        <w:rPr/>
        <w:t>ENRON GAS PIPELINE GROUP</w:t>
        <w:tab/>
        <w:tab/>
        <w:tab/>
        <w:tab/>
      </w:r>
    </w:p>
    <w:p>
      <w:pPr>
        <w:pStyle w:val="Normal"/>
        <w:rPr>
          <w:b/>
          <w:sz w:val="44"/>
        </w:rPr>
      </w:pPr>
      <w:r>
        <w:rPr>
          <w:b/>
          <w:sz w:val="44"/>
        </w:rPr>
      </w:r>
    </w:p>
    <w:p>
      <w:pPr>
        <w:pStyle w:val="Heading1"/>
        <w:ind w:hanging="0" w:start="0" w:end="936"/>
        <w:rPr>
          <w:sz w:val="30"/>
        </w:rPr>
      </w:pPr>
      <w:r>
        <w:rPr>
          <w:sz w:val="30"/>
        </w:rPr>
        <w:t>INTEROFFICE MEMORANDUM</w:t>
      </w:r>
    </w:p>
    <w:p>
      <w:pPr>
        <w:pStyle w:val="Normal"/>
        <w:rPr>
          <w:sz w:val="30"/>
        </w:rPr>
      </w:pPr>
      <w:r>
        <w:rPr>
          <w:sz w:val="30"/>
        </w:rPr>
      </w:r>
    </w:p>
    <w:p>
      <w:pPr>
        <w:pStyle w:val="Normal"/>
        <w:tabs>
          <w:tab w:val="left" w:pos="0" w:leader="none"/>
          <w:tab w:val="left" w:pos="540" w:leader="none"/>
          <w:tab w:val="left" w:pos="720" w:leader="none"/>
          <w:tab w:val="left" w:pos="1440" w:leader="none"/>
          <w:tab w:val="left" w:pos="2160" w:leader="none"/>
          <w:tab w:val="left" w:pos="3456" w:leader="none"/>
          <w:tab w:val="left" w:pos="6816" w:leader="none"/>
          <w:tab w:val="left" w:pos="7200" w:leader="none"/>
        </w:tabs>
        <w:suppressAutoHyphens w:val="true"/>
        <w:jc w:val="end"/>
        <w:rPr>
          <w:b/>
          <w:i/>
          <w:i/>
          <w:smallCaps/>
          <w:spacing w:val="-3"/>
          <w:sz w:val="26"/>
        </w:rPr>
      </w:pPr>
      <w:r>
        <w:rPr>
          <w:b/>
          <w:i/>
          <w:smallCaps/>
          <w:spacing w:val="-3"/>
          <w:sz w:val="26"/>
        </w:rPr>
      </w:r>
    </w:p>
    <w:p>
      <w:pPr>
        <w:pStyle w:val="Normal"/>
        <w:tabs>
          <w:tab w:val="left" w:pos="0" w:leader="none"/>
          <w:tab w:val="left" w:pos="540" w:leader="none"/>
          <w:tab w:val="left" w:pos="720" w:leader="none"/>
          <w:tab w:val="left" w:pos="1440" w:leader="none"/>
          <w:tab w:val="left" w:pos="2160" w:leader="none"/>
          <w:tab w:val="left" w:pos="6210" w:leader="none"/>
          <w:tab w:val="left" w:pos="7200" w:leader="none"/>
        </w:tabs>
        <w:suppressAutoHyphens w:val="true"/>
        <w:rPr>
          <w:spacing w:val="-2"/>
        </w:rPr>
      </w:pPr>
      <w:r>
        <w:rPr>
          <w:smallCaps/>
          <w:spacing w:val="-2"/>
        </w:rPr>
        <w:t>To:</w:t>
        <w:tab/>
      </w:r>
      <w:r>
        <w:rPr>
          <w:spacing w:val="-2"/>
          <w:sz w:val="22"/>
        </w:rPr>
        <w:tab/>
        <w:tab/>
        <w:t>Michael Moran</w:t>
      </w:r>
      <w:r>
        <w:rPr>
          <w:b/>
          <w:smallCaps/>
          <w:spacing w:val="-2"/>
        </w:rPr>
        <w:tab/>
      </w:r>
      <w:r>
        <w:rPr>
          <w:smallCaps/>
          <w:spacing w:val="-2"/>
        </w:rPr>
        <w:t>Date:</w:t>
        <w:tab/>
      </w:r>
      <w:r>
        <w:rPr>
          <w:b/>
          <w:smallCaps/>
          <w:spacing w:val="-2"/>
        </w:rPr>
        <w:t xml:space="preserve"> </w:t>
      </w:r>
      <w:r>
        <w:rPr>
          <w:spacing w:val="-2"/>
          <w:sz w:val="22"/>
        </w:rPr>
        <w:fldChar w:fldCharType="begin"/>
      </w:r>
      <w:r>
        <w:rPr>
          <w:sz w:val="22"/>
          <w:spacing w:val="-2"/>
        </w:rPr>
        <w:instrText xml:space="preserve"> DATE \@"MMMM\ d', 'yyyy" </w:instrText>
      </w:r>
      <w:r>
        <w:rPr>
          <w:sz w:val="22"/>
          <w:spacing w:val="-2"/>
        </w:rPr>
        <w:fldChar w:fldCharType="separate"/>
      </w:r>
      <w:r>
        <w:rPr>
          <w:sz w:val="22"/>
          <w:spacing w:val="-2"/>
        </w:rPr>
        <w:t>September 28, 2025</w:t>
      </w:r>
      <w:r>
        <w:rPr>
          <w:sz w:val="22"/>
          <w:spacing w:val="-2"/>
        </w:rPr>
        <w:fldChar w:fldCharType="end"/>
      </w:r>
    </w:p>
    <w:p>
      <w:pPr>
        <w:pStyle w:val="Normal"/>
        <w:tabs>
          <w:tab w:val="left" w:pos="0" w:leader="none"/>
          <w:tab w:val="left" w:pos="540" w:leader="none"/>
          <w:tab w:val="left" w:pos="720" w:leader="none"/>
          <w:tab w:val="left" w:pos="1440" w:leader="none"/>
          <w:tab w:val="left" w:pos="2160" w:leader="none"/>
          <w:tab w:val="left" w:pos="3456" w:leader="none"/>
          <w:tab w:val="left" w:pos="6816" w:leader="none"/>
          <w:tab w:val="left" w:pos="7200" w:leader="none"/>
        </w:tabs>
        <w:suppressAutoHyphens w:val="true"/>
        <w:rPr>
          <w:b/>
          <w:smallCaps/>
          <w:spacing w:val="-2"/>
        </w:rPr>
      </w:pPr>
      <w:r>
        <w:rPr>
          <w:b/>
          <w:smallCaps/>
          <w:spacing w:val="-2"/>
        </w:rPr>
      </w:r>
    </w:p>
    <w:p>
      <w:pPr>
        <w:pStyle w:val="Normal"/>
        <w:tabs>
          <w:tab w:val="left" w:pos="0" w:leader="none"/>
          <w:tab w:val="left" w:pos="540" w:leader="none"/>
          <w:tab w:val="left" w:pos="720" w:leader="none"/>
          <w:tab w:val="left" w:pos="1440" w:leader="none"/>
          <w:tab w:val="left" w:pos="2160" w:leader="none"/>
          <w:tab w:val="left" w:pos="3456" w:leader="none"/>
          <w:tab w:val="left" w:pos="6210" w:leader="none"/>
          <w:tab w:val="left" w:pos="7200" w:leader="none"/>
        </w:tabs>
        <w:suppressAutoHyphens w:val="true"/>
        <w:rPr>
          <w:spacing w:val="-2"/>
        </w:rPr>
      </w:pPr>
      <w:r>
        <w:rPr>
          <w:smallCaps/>
          <w:spacing w:val="-2"/>
        </w:rPr>
        <w:t>From:</w:t>
      </w:r>
      <w:r>
        <w:rPr>
          <w:spacing w:val="-2"/>
        </w:rPr>
        <w:tab/>
        <w:tab/>
      </w:r>
      <w:r>
        <w:rPr>
          <w:spacing w:val="-2"/>
          <w:sz w:val="22"/>
        </w:rPr>
        <w:t>Lou Soldano</w:t>
      </w:r>
      <w:r>
        <w:rPr>
          <w:spacing w:val="-2"/>
        </w:rPr>
        <w:tab/>
        <w:tab/>
      </w:r>
      <w:r>
        <w:rPr>
          <w:smallCaps/>
          <w:spacing w:val="-2"/>
        </w:rPr>
        <w:t>Dept</w:t>
      </w:r>
      <w:r>
        <w:rPr>
          <w:smallCaps/>
          <w:spacing w:val="-2"/>
          <w:sz w:val="22"/>
        </w:rPr>
        <w:t>:</w:t>
      </w:r>
      <w:r>
        <w:rPr>
          <w:spacing w:val="-2"/>
          <w:sz w:val="22"/>
        </w:rPr>
        <w:t xml:space="preserve">  </w:t>
        <w:tab/>
        <w:t xml:space="preserve"> EGPG - Legal</w:t>
      </w:r>
    </w:p>
    <w:p>
      <w:pPr>
        <w:pStyle w:val="Footer"/>
        <w:tabs>
          <w:tab w:val="clear" w:pos="4320"/>
          <w:tab w:val="clear" w:pos="8640"/>
          <w:tab w:val="left" w:pos="0" w:leader="none"/>
          <w:tab w:val="left" w:pos="540" w:leader="none"/>
          <w:tab w:val="left" w:pos="720" w:leader="none"/>
          <w:tab w:val="left" w:pos="1440" w:leader="none"/>
          <w:tab w:val="left" w:pos="2160" w:leader="none"/>
          <w:tab w:val="left" w:pos="3456" w:leader="none"/>
          <w:tab w:val="left" w:pos="6300" w:leader="none"/>
          <w:tab w:val="left" w:pos="7200" w:leader="none"/>
        </w:tabs>
        <w:suppressAutoHyphens w:val="true"/>
        <w:rPr>
          <w:spacing w:val="-2"/>
        </w:rPr>
      </w:pPr>
      <w:r>
        <w:rPr>
          <w:spacing w:val="-2"/>
        </w:rPr>
      </w:r>
    </w:p>
    <w:p>
      <w:pPr>
        <w:pStyle w:val="Normal"/>
        <w:ind w:hanging="1440" w:start="1440" w:end="0"/>
        <w:rPr>
          <w:spacing w:val="-2"/>
          <w:sz w:val="22"/>
        </w:rPr>
      </w:pPr>
      <w:r>
        <w:rPr>
          <w:smallCaps/>
          <w:spacing w:val="-2"/>
        </w:rPr>
        <w:t>Subject:</w:t>
      </w:r>
      <w:r>
        <w:rPr>
          <w:spacing w:val="-2"/>
        </w:rPr>
        <w:tab/>
        <w:t xml:space="preserve">Summary of Meetings in Washington D.C. with the DOI, BIA and FERC </w:t>
        <w:br/>
        <w:t>regarding Navajo Nation</w:t>
      </w:r>
    </w:p>
    <w:p>
      <w:pPr>
        <w:pStyle w:val="Normal"/>
        <w:ind w:end="936"/>
        <w:rPr>
          <w:spacing w:val="-2"/>
          <w:u w:val="single"/>
        </w:rPr>
      </w:pPr>
      <w:r>
        <w:rPr>
          <w:b/>
          <w:spacing w:val="-2"/>
          <w:sz w:val="22"/>
        </w:rPr>
        <w:t>______________________________________________________________________________</w:t>
      </w:r>
    </w:p>
    <w:p>
      <w:pPr>
        <w:pStyle w:val="Normal"/>
        <w:rPr>
          <w:spacing w:val="-2"/>
          <w:u w:val="single"/>
        </w:rPr>
      </w:pPr>
      <w:r>
        <w:rPr>
          <w:spacing w:val="-2"/>
          <w:u w:val="single"/>
        </w:rPr>
      </w:r>
    </w:p>
    <w:p>
      <w:pPr>
        <w:pStyle w:val="Heading4"/>
        <w:ind w:hanging="0" w:start="0" w:end="936"/>
        <w:jc w:val="center"/>
        <w:rPr>
          <w:i w:val="false"/>
          <w:i w:val="false"/>
          <w:sz w:val="22"/>
          <w:u w:val="single"/>
        </w:rPr>
      </w:pPr>
      <w:r>
        <w:rPr>
          <w:i w:val="false"/>
          <w:sz w:val="22"/>
          <w:u w:val="single"/>
        </w:rPr>
        <w:t>Privileged and Confidential</w:t>
      </w:r>
    </w:p>
    <w:p>
      <w:pPr>
        <w:pStyle w:val="Heading7"/>
        <w:jc w:val="center"/>
        <w:rPr>
          <w:u w:val="single"/>
        </w:rPr>
      </w:pPr>
      <w:r>
        <w:rPr>
          <w:u w:val="single"/>
        </w:rPr>
        <w:t>Attorney Work Product/</w:t>
      </w:r>
    </w:p>
    <w:p>
      <w:pPr>
        <w:pStyle w:val="Heading7"/>
        <w:jc w:val="center"/>
        <w:rPr>
          <w:u w:val="single"/>
        </w:rPr>
      </w:pPr>
      <w:r>
        <w:rPr>
          <w:u w:val="single"/>
        </w:rPr>
        <w:t>Attorney Client Communication</w:t>
      </w:r>
    </w:p>
    <w:p>
      <w:pPr>
        <w:pStyle w:val="Normal"/>
        <w:rPr>
          <w:u w:val="single"/>
        </w:rPr>
      </w:pPr>
      <w:r>
        <w:rPr>
          <w:u w:val="single"/>
        </w:rPr>
      </w:r>
    </w:p>
    <w:p>
      <w:pPr>
        <w:pStyle w:val="Footer"/>
        <w:tabs>
          <w:tab w:val="clear" w:pos="4320"/>
          <w:tab w:val="clear" w:pos="8640"/>
          <w:tab w:val="left" w:pos="540" w:leader="none"/>
        </w:tabs>
        <w:rPr/>
      </w:pPr>
      <w:r>
        <w:rPr/>
      </w:r>
    </w:p>
    <w:p>
      <w:pPr>
        <w:pStyle w:val="BodyText2"/>
        <w:rPr/>
      </w:pPr>
      <w:r>
        <w:rPr/>
        <w:tab/>
        <w:t>On February 23 and 24, 2000 a series of meetings were held in Washington D.C. between Transwestern representatives and various members of other agencies as follows.</w:t>
      </w:r>
    </w:p>
    <w:p>
      <w:pPr>
        <w:pStyle w:val="Normal"/>
        <w:ind w:end="936"/>
        <w:rPr/>
      </w:pPr>
      <w:r>
        <w:rPr/>
      </w:r>
    </w:p>
    <w:p>
      <w:pPr>
        <w:pStyle w:val="Heading5"/>
        <w:ind w:hanging="0" w:start="0" w:end="936"/>
        <w:rPr/>
      </w:pPr>
      <w:r>
        <w:rPr/>
        <w:t xml:space="preserve">February 23, 2000 </w:t>
      </w:r>
    </w:p>
    <w:p>
      <w:pPr>
        <w:pStyle w:val="Normal"/>
        <w:ind w:end="936"/>
        <w:rPr/>
      </w:pPr>
      <w:r>
        <w:rPr/>
      </w:r>
    </w:p>
    <w:p>
      <w:pPr>
        <w:pStyle w:val="Normal"/>
        <w:ind w:end="936"/>
        <w:rPr/>
      </w:pPr>
      <w:r>
        <w:rPr/>
        <w:t>Meeting participants:</w:t>
      </w:r>
    </w:p>
    <w:p>
      <w:pPr>
        <w:pStyle w:val="Normal"/>
        <w:ind w:end="936"/>
        <w:rPr/>
      </w:pPr>
      <w:r>
        <w:rPr/>
        <w:tab/>
        <w:t>Ed Cohen, Deputy Solicitor, Department of the Interior</w:t>
      </w:r>
    </w:p>
    <w:p>
      <w:pPr>
        <w:pStyle w:val="Normal"/>
        <w:ind w:end="936"/>
        <w:rPr/>
      </w:pPr>
      <w:r>
        <w:rPr/>
        <w:tab/>
        <w:t>Steve Simpson,</w:t>
      </w:r>
    </w:p>
    <w:p>
      <w:pPr>
        <w:pStyle w:val="Normal"/>
        <w:ind w:end="936"/>
        <w:rPr/>
      </w:pPr>
      <w:r>
        <w:rPr/>
      </w:r>
    </w:p>
    <w:p>
      <w:pPr>
        <w:pStyle w:val="Normal"/>
        <w:ind w:end="936"/>
        <w:rPr/>
      </w:pPr>
      <w:r>
        <w:rPr/>
        <w:t>Transwestern Representatives:</w:t>
      </w:r>
    </w:p>
    <w:p>
      <w:pPr>
        <w:pStyle w:val="Normal"/>
        <w:ind w:end="936"/>
        <w:rPr/>
      </w:pPr>
      <w:r>
        <w:rPr/>
        <w:tab/>
        <w:t>Lou Soldano</w:t>
      </w:r>
    </w:p>
    <w:p>
      <w:pPr>
        <w:pStyle w:val="Normal"/>
        <w:ind w:end="936"/>
        <w:rPr/>
      </w:pPr>
      <w:r>
        <w:rPr/>
        <w:tab/>
        <w:t>Lynn Slade</w:t>
      </w:r>
    </w:p>
    <w:p>
      <w:pPr>
        <w:pStyle w:val="Normal"/>
        <w:ind w:end="936"/>
        <w:rPr/>
      </w:pPr>
      <w:r>
        <w:rPr/>
        <w:tab/>
        <w:t>Jim McCartney</w:t>
      </w:r>
    </w:p>
    <w:p>
      <w:pPr>
        <w:pStyle w:val="Normal"/>
        <w:ind w:end="936"/>
        <w:rPr/>
      </w:pPr>
      <w:r>
        <w:rPr/>
        <w:tab/>
        <w:t>Jeff Keeler</w:t>
      </w:r>
    </w:p>
    <w:p>
      <w:pPr>
        <w:pStyle w:val="Normal"/>
        <w:ind w:end="936"/>
        <w:rPr/>
      </w:pPr>
      <w:r>
        <w:rPr/>
      </w:r>
    </w:p>
    <w:p>
      <w:pPr>
        <w:pStyle w:val="BodyText"/>
        <w:ind w:end="936"/>
        <w:rPr/>
      </w:pPr>
      <w:r>
        <w:rPr/>
        <w:tab/>
        <w:t>The meeting was extremely congenial.  The deputy solicitor had been briefed by Tim Bowman (the Regional Solicitor in Albuquerque, who Transwestern had briefed twice concerning the overall renewal and once concerning the Standing Rock matter).  The Department of Interior representatives were briefed on Transwestern.  The negotiations between the Navajo Nation Energy Resources Task Force and Transwestern and the prior discussions between Transwestern and Mr. Bowman.  Transwestern expressed its desire to resolve the matter through a settlement but found itself in a position of unfortunately preparing for possible administrative action with the BIA and DOI in the relatively near future.  The events of the early 1980s including the litigation between Transwestern and Navajo Nation were reviewed with the DOI representatives including the IBIA decision in which Transwestern’s request for the grant of a renewal of right-of-way without the consent of the Navajo Nation was denied.  Transwestern also inquired into what role if any, the Department of Interior might play, or saw itself in playing on any kind of settlement discussions and in particular whether or not the DOI position regarding the nessecisity of the consent of the tribe for a grant of right-of-way had changed since the early 1980s.  The DOI representatives stated Mr. Bowman was an expert in this area and they agreed with his opinion that they were not aware of any changes in the interpretation of the DOI regulations.  Transwestern explained its position and why such consent was not required and requested that if the DOI had not changed its position over time that they expedite any action that Transwestern might pursue in this matter so it could be resolved in the courts on a timely basis.  Transwestern provided some case materials for the DOI to review.</w:t>
      </w:r>
    </w:p>
    <w:p>
      <w:pPr>
        <w:pStyle w:val="Normal"/>
        <w:ind w:end="936"/>
        <w:jc w:val="both"/>
        <w:rPr/>
      </w:pPr>
      <w:r>
        <w:rPr/>
      </w:r>
    </w:p>
    <w:p>
      <w:pPr>
        <w:pStyle w:val="Normal"/>
        <w:ind w:end="936"/>
        <w:jc w:val="both"/>
        <w:rPr/>
      </w:pPr>
      <w:r>
        <w:rPr/>
      </w:r>
    </w:p>
    <w:p>
      <w:pPr>
        <w:pStyle w:val="Heading6"/>
        <w:ind w:hanging="0" w:start="0" w:end="936"/>
        <w:rPr/>
      </w:pPr>
      <w:r>
        <w:rPr/>
        <w:t>February 24, 2000</w:t>
      </w:r>
    </w:p>
    <w:p>
      <w:pPr>
        <w:pStyle w:val="Normal"/>
        <w:ind w:end="936"/>
        <w:jc w:val="both"/>
        <w:rPr/>
      </w:pPr>
      <w:r>
        <w:rPr/>
      </w:r>
    </w:p>
    <w:p>
      <w:pPr>
        <w:pStyle w:val="Normal"/>
        <w:ind w:end="936"/>
        <w:jc w:val="both"/>
        <w:rPr/>
      </w:pPr>
      <w:r>
        <w:rPr/>
        <w:t>Meeting at the BIA.  Participants:</w:t>
      </w:r>
    </w:p>
    <w:p>
      <w:pPr>
        <w:pStyle w:val="Normal"/>
        <w:ind w:end="936"/>
        <w:jc w:val="both"/>
        <w:rPr/>
      </w:pPr>
      <w:r>
        <w:rPr/>
        <w:tab/>
        <w:t>Terry Burdon</w:t>
      </w:r>
    </w:p>
    <w:p>
      <w:pPr>
        <w:pStyle w:val="Normal"/>
        <w:ind w:end="936"/>
        <w:jc w:val="both"/>
        <w:rPr/>
      </w:pPr>
      <w:r>
        <w:rPr/>
        <w:tab/>
        <w:t>Jeffrey Corman, Environmental Protection Officer</w:t>
      </w:r>
    </w:p>
    <w:p>
      <w:pPr>
        <w:pStyle w:val="Normal"/>
        <w:ind w:end="936"/>
        <w:jc w:val="both"/>
        <w:rPr/>
      </w:pPr>
      <w:r>
        <w:rPr/>
        <w:tab/>
        <w:t>Valerie _____, Environmental staff</w:t>
      </w:r>
    </w:p>
    <w:p>
      <w:pPr>
        <w:pStyle w:val="Normal"/>
        <w:ind w:end="936"/>
        <w:jc w:val="both"/>
        <w:rPr/>
      </w:pPr>
      <w:r>
        <w:rPr/>
      </w:r>
    </w:p>
    <w:p>
      <w:pPr>
        <w:pStyle w:val="Normal"/>
        <w:ind w:end="936"/>
        <w:jc w:val="both"/>
        <w:rPr/>
      </w:pPr>
      <w:r>
        <w:rPr/>
        <w:t>Transwestern/Enron representatives:</w:t>
      </w:r>
    </w:p>
    <w:p>
      <w:pPr>
        <w:pStyle w:val="Normal"/>
        <w:ind w:end="936"/>
        <w:jc w:val="both"/>
        <w:rPr/>
      </w:pPr>
      <w:r>
        <w:rPr/>
        <w:tab/>
        <w:t>Christie Patrick</w:t>
      </w:r>
    </w:p>
    <w:p>
      <w:pPr>
        <w:pStyle w:val="Normal"/>
        <w:ind w:end="936"/>
        <w:jc w:val="both"/>
        <w:rPr/>
      </w:pPr>
      <w:r>
        <w:rPr/>
        <w:tab/>
        <w:t>Roger Fragua</w:t>
      </w:r>
    </w:p>
    <w:p>
      <w:pPr>
        <w:pStyle w:val="Normal"/>
        <w:ind w:end="936"/>
        <w:jc w:val="both"/>
        <w:rPr/>
      </w:pPr>
      <w:r>
        <w:rPr/>
        <w:tab/>
        <w:t>Lou Soldano</w:t>
      </w:r>
    </w:p>
    <w:p>
      <w:pPr>
        <w:pStyle w:val="Normal"/>
        <w:ind w:end="936"/>
        <w:jc w:val="both"/>
        <w:rPr/>
      </w:pPr>
      <w:r>
        <w:rPr/>
        <w:tab/>
        <w:t>Lynn Slade</w:t>
      </w:r>
    </w:p>
    <w:p>
      <w:pPr>
        <w:pStyle w:val="Normal"/>
        <w:ind w:end="936"/>
        <w:jc w:val="both"/>
        <w:rPr/>
      </w:pPr>
      <w:r>
        <w:rPr/>
        <w:tab/>
        <w:t>Jim McCartney</w:t>
      </w:r>
    </w:p>
    <w:p>
      <w:pPr>
        <w:pStyle w:val="Normal"/>
        <w:ind w:end="936"/>
        <w:jc w:val="both"/>
        <w:rPr/>
      </w:pPr>
      <w:r>
        <w:rPr/>
        <w:tab/>
        <w:t>Jeff Keeler</w:t>
      </w:r>
    </w:p>
    <w:p>
      <w:pPr>
        <w:pStyle w:val="Normal"/>
        <w:ind w:end="936"/>
        <w:jc w:val="both"/>
        <w:rPr/>
      </w:pPr>
      <w:r>
        <w:rPr/>
      </w:r>
    </w:p>
    <w:p>
      <w:pPr>
        <w:pStyle w:val="Normal"/>
        <w:ind w:end="936"/>
        <w:jc w:val="both"/>
        <w:rPr/>
      </w:pPr>
      <w:r>
        <w:rPr/>
        <w:tab/>
        <w:t xml:space="preserve">Transwestern and Enron representatives had a very pleasant conversation with the BIA staff.  Enron Indian Affairs representatives made a presentation on their functions within the Enron companies and their interest in the various opportunities and benefits that they may be able to arrange between various nations and Enron companies.  Government affairs enumerated a number of projects that are mutually advantageous to both the tribe and to Enron companies.  The second half of the meeting, Trnaswestern representatives provided a similar briefing to the BIA officials as had been completed with the DOI representatives the day before.  Of particular emphasis was made with respect to the desire of Transwestern to settle this matter but on mutually agreeable, reasonable terms and the unfortunate necessity to pursue administrative action.  The BIA representatives promised to visit with the Department of Interior representatives on these issues that had been raised.  </w:t>
      </w:r>
    </w:p>
    <w:p>
      <w:pPr>
        <w:pStyle w:val="Normal"/>
        <w:ind w:end="936"/>
        <w:jc w:val="both"/>
        <w:rPr/>
      </w:pPr>
      <w:r>
        <w:rPr/>
      </w:r>
    </w:p>
    <w:p>
      <w:pPr>
        <w:pStyle w:val="Normal"/>
        <w:ind w:end="936"/>
        <w:jc w:val="both"/>
        <w:rPr/>
      </w:pPr>
      <w:r>
        <w:rPr/>
        <w:t>Meeting with FERC General Counsel staff:</w:t>
      </w:r>
    </w:p>
    <w:p>
      <w:pPr>
        <w:pStyle w:val="Normal"/>
        <w:ind w:end="936"/>
        <w:jc w:val="both"/>
        <w:rPr/>
      </w:pPr>
      <w:r>
        <w:rPr/>
      </w:r>
    </w:p>
    <w:p>
      <w:pPr>
        <w:pStyle w:val="Normal"/>
        <w:ind w:end="936"/>
        <w:jc w:val="both"/>
        <w:rPr/>
      </w:pPr>
      <w:r>
        <w:rPr/>
        <w:tab/>
        <w:t>Bob Kristen, FERC</w:t>
      </w:r>
    </w:p>
    <w:p>
      <w:pPr>
        <w:pStyle w:val="Normal"/>
        <w:ind w:end="936"/>
        <w:jc w:val="both"/>
        <w:rPr/>
      </w:pPr>
      <w:r>
        <w:rPr/>
      </w:r>
      <w:r>
        <w:br w:type="page"/>
      </w:r>
    </w:p>
    <w:p>
      <w:pPr>
        <w:pStyle w:val="Normal"/>
        <w:ind w:end="936"/>
        <w:jc w:val="both"/>
        <w:rPr/>
      </w:pPr>
      <w:r>
        <w:rPr/>
        <w:t>Transwestern representatives</w:t>
      </w:r>
    </w:p>
    <w:p>
      <w:pPr>
        <w:pStyle w:val="Normal"/>
        <w:ind w:end="936"/>
        <w:jc w:val="both"/>
        <w:rPr/>
      </w:pPr>
      <w:r>
        <w:rPr/>
        <w:tab/>
        <w:t>Lou Soldano</w:t>
      </w:r>
    </w:p>
    <w:p>
      <w:pPr>
        <w:pStyle w:val="Normal"/>
        <w:ind w:end="936"/>
        <w:jc w:val="both"/>
        <w:rPr/>
      </w:pPr>
      <w:r>
        <w:rPr/>
        <w:tab/>
        <w:t>Lynn Slade</w:t>
      </w:r>
    </w:p>
    <w:p>
      <w:pPr>
        <w:pStyle w:val="Normal"/>
        <w:ind w:end="936"/>
        <w:jc w:val="both"/>
        <w:rPr/>
      </w:pPr>
      <w:r>
        <w:rPr/>
        <w:tab/>
        <w:t>Jim McCartney</w:t>
      </w:r>
    </w:p>
    <w:p>
      <w:pPr>
        <w:pStyle w:val="Normal"/>
        <w:ind w:end="936"/>
        <w:jc w:val="both"/>
        <w:rPr/>
      </w:pPr>
      <w:r>
        <w:rPr/>
        <w:tab/>
        <w:t>Donna Fulton</w:t>
      </w:r>
    </w:p>
    <w:p>
      <w:pPr>
        <w:pStyle w:val="Normal"/>
        <w:ind w:end="936"/>
        <w:jc w:val="both"/>
        <w:rPr/>
      </w:pPr>
      <w:r>
        <w:rPr/>
      </w:r>
    </w:p>
    <w:p>
      <w:pPr>
        <w:pStyle w:val="Normal"/>
        <w:ind w:end="936"/>
        <w:jc w:val="both"/>
        <w:rPr/>
      </w:pPr>
      <w:r>
        <w:rPr/>
        <w:tab/>
        <w:t xml:space="preserve">The Transwestern representatives had a very open and honest exchange of information with Mr. Kristen.  Transwestern updated Mr. Kristen on the negotiations and provided information on the role that Transwestern in El Paso, the northern system of El Paso, played in the California markets.  Mr. Kristen relayed Doug Smith’s reluctance to issue an opinion letter in this matter as the issues that Transwestern raised with respect to eminent domain authority under the Natural Gas Act over travel trust lands primarily on the basis that this was a complicated area of law and that the General Counsel’s office seldom ventured into interpretations in this area and that there was no case law directly on point.  There was a good discussion of existing case law and Transwestern’s basis for its position that the NGA language and in particular the legislative history clearly broad enough to cover the eminent domain proceedings.   Mr. Kristen expressed the opinion that an opinion letter would not carry much weight with either the Navajo’s or in any court proceedings.  Mr. Kristen was extremely sympathetic to Transwerstern’s position and stated that he would visit again with Doug Smith and contact either Ms. Fulton, Mr. Soldano or Mr. McCartney on the results of those discussions.  </w:t>
      </w:r>
    </w:p>
    <w:p>
      <w:pPr>
        <w:pStyle w:val="Normal"/>
        <w:ind w:end="936"/>
        <w:jc w:val="both"/>
        <w:rPr/>
      </w:pPr>
      <w:r>
        <w:rPr/>
      </w:r>
    </w:p>
    <w:p>
      <w:pPr>
        <w:pStyle w:val="BodyText2"/>
        <w:rPr/>
      </w:pPr>
      <w:r>
        <w:rPr/>
        <w:tab/>
        <w:t>During one of the prep sessions with Enron Indian Affairs group, Christie Patrick relayed that she and Roger Fragua had a meeting with Dan Adamson earlier in the week and that the Transwestern/Navajo matter had come up.  Adamsom expressed strong concerns over the approach Transwestern was taking and felt that initiating litigation with the tribe would not be in Transwestern’s best interest.  He said that he had read Transwestern’s legal materials and disagreed that there was any basis for Transwestern exercising any condemnation authority and had expressed his opinion to general counsel’s office.  Although Transwestern representatives did not raise this issue directly with  Bob Kristen, Mr. Kristen did not indicate in any way that there were any reasons for the general counsel’s reluctance other than those outlined above.  However, in light of Mr. Adamson’s concerns, it is suggested that it may be extremely helpful to arrange for a meeting between Mr. Adamson or his staff in the near future to explore his concerns and Transwestern’s approach and attempt to brief him more thoroughly on the status of the negotiations and explore what options he believes are available to Transwestern.  Along those lines, Shelley Corman has offered to arrange such a meeting between Shelley, Soldano, Dan Adamson, Dan Laracamp and Dan Adamson’s new deputy, Bill Lansinger.</w:t>
      </w:r>
    </w:p>
    <w:p>
      <w:pPr>
        <w:pStyle w:val="Normal"/>
        <w:ind w:end="936"/>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/mnt/main-storage/datasets/enron-docs/doc/Mm_mtgs.doc</w:t>
      </w:r>
      <w:r>
        <w:rPr>
          <w:sz w:val="16"/>
          <w:lang w:eastAsia="en-US"/>
        </w:rPr>
        <w:fldChar w:fldCharType="end"/>
      </w:r>
    </w:p>
    <w:sectPr>
      <w:headerReference w:type="default" r:id="rId3"/>
      <w:headerReference w:type="first" r:id="rId4"/>
      <w:footerReference w:type="default" r:id="rId5"/>
      <w:footerReference w:type="first" r:id="rId6"/>
      <w:type w:val="nextPage"/>
      <w:pgSz w:w="12240" w:h="15840"/>
      <w:pgMar w:left="720" w:right="864"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rPr>
    </w:pPr>
    <w:r>
      <w:rPr>
        <w:rFonts w:cs="Times New Roman" w:ascii="Times New Roman" w:hAnsi="Times New Roman"/>
      </w:rPr>
      <w:t>Memorandum</w:t>
    </w:r>
  </w:p>
  <w:p>
    <w:pPr>
      <w:pStyle w:val="Head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DATE \@"MMMM\ d', 'yyyy" </w:instrText>
    </w:r>
    <w:r>
      <w:rPr>
        <w:rStyle w:val="PageNumber"/>
        <w:rFonts w:cs="Times New Roman" w:ascii="Times New Roman" w:hAnsi="Times New Roman"/>
      </w:rPr>
      <w:fldChar w:fldCharType="separate"/>
    </w:r>
    <w:r>
      <w:rPr>
        <w:rStyle w:val="PageNumber"/>
        <w:rFonts w:cs="Times New Roman" w:ascii="Times New Roman" w:hAnsi="Times New Roman"/>
      </w:rPr>
      <w:t>September 28, 2025</w:t>
    </w:r>
    <w:r>
      <w:rPr>
        <w:rStyle w:val="PageNumber"/>
        <w:rFonts w:cs="Times New Roman" w:ascii="Times New Roman" w:hAnsi="Times New Roman"/>
      </w:rPr>
      <w:fldChar w:fldCharType="end"/>
    </w:r>
  </w:p>
  <w:p>
    <w:pPr>
      <w:pStyle w:val="Header"/>
      <w:rPr>
        <w:rStyle w:val="PageNumber"/>
      </w:rPr>
    </w:pPr>
    <w:r>
      <w:rPr>
        <w:rFonts w:cs="Times New Roman" w:ascii="Times New Roman" w:hAnsi="Times New Roman"/>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b/>
      <w:sz w:val="28"/>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Normal"/>
    <w:next w:val="Normal"/>
    <w:qFormat/>
    <w:pPr>
      <w:keepNext w:val="true"/>
      <w:numPr>
        <w:ilvl w:val="3"/>
        <w:numId w:val="1"/>
      </w:numPr>
      <w:tabs>
        <w:tab w:val="left" w:pos="0" w:leader="none"/>
        <w:tab w:val="left" w:pos="540" w:leader="none"/>
        <w:tab w:val="left" w:pos="720" w:leader="none"/>
        <w:tab w:val="left" w:pos="1440" w:leader="none"/>
        <w:tab w:val="left" w:pos="2160" w:leader="none"/>
        <w:tab w:val="left" w:pos="3456" w:leader="none"/>
        <w:tab w:val="left" w:pos="6816" w:leader="none"/>
        <w:tab w:val="left" w:pos="7200" w:leader="none"/>
      </w:tabs>
      <w:suppressAutoHyphens w:val="true"/>
      <w:jc w:val="end"/>
      <w:outlineLvl w:val="3"/>
    </w:pPr>
    <w:rPr>
      <w:b/>
      <w:i/>
      <w:smallCaps/>
      <w:spacing w:val="-3"/>
      <w:sz w:val="26"/>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jc w:val="both"/>
      <w:outlineLvl w:val="5"/>
    </w:pPr>
    <w:rPr>
      <w:b/>
    </w:rPr>
  </w:style>
  <w:style w:type="paragraph" w:styleId="Heading7">
    <w:name w:val="heading 7"/>
    <w:basedOn w:val="Normal"/>
    <w:next w:val="Normal"/>
    <w:qFormat/>
    <w:pPr>
      <w:keepNext w:val="true"/>
      <w:numPr>
        <w:ilvl w:val="6"/>
        <w:numId w:val="1"/>
      </w:numPr>
      <w:tabs>
        <w:tab w:val="left" w:pos="0" w:leader="none"/>
        <w:tab w:val="left" w:pos="540" w:leader="none"/>
        <w:tab w:val="left" w:pos="720" w:leader="none"/>
        <w:tab w:val="left" w:pos="1440" w:leader="none"/>
        <w:tab w:val="left" w:pos="2160" w:leader="none"/>
        <w:tab w:val="left" w:pos="3456" w:leader="none"/>
        <w:tab w:val="left" w:pos="6816" w:leader="none"/>
        <w:tab w:val="left" w:pos="7200" w:leader="none"/>
      </w:tabs>
      <w:suppressAutoHyphens w:val="true"/>
      <w:ind w:hanging="0" w:start="0" w:end="936"/>
      <w:jc w:val="end"/>
      <w:outlineLvl w:val="6"/>
    </w:pPr>
    <w:rPr>
      <w:b/>
      <w:smallCaps/>
      <w:spacing w:val="-3"/>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ind w:hanging="0" w:start="0" w:end="936"/>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2000-02-25T18:50:00Z</dcterms:created>
  <dc:creator>Lou Soldano</dc:creator>
  <dc:description/>
  <dc:language>en-CA</dc:language>
  <cp:lastModifiedBy>jcobden</cp:lastModifiedBy>
  <cp:lastPrinted>2000-02-25T15:30:00Z</cp:lastPrinted>
  <dcterms:modified xsi:type="dcterms:W3CDTF">2000-02-25T19:00:00Z</dcterms:modified>
  <cp:revision>3</cp:revision>
  <dc:subject/>
  <dc:title> 	</dc:title>
</cp:coreProperties>
</file>