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b/>
          <w:sz w:val="28"/>
        </w:rPr>
        <w:t>LITIGATION UNIT</w:t>
      </w:r>
    </w:p>
    <w:p>
      <w:pPr>
        <w:pStyle w:val="Caption"/>
        <w:rPr>
          <w:sz w:val="28"/>
        </w:rPr>
      </w:pPr>
      <w:r>
        <w:rPr>
          <w:sz w:val="28"/>
        </w:rPr>
        <w:t>M E M O R A N D U M</w:t>
      </w:r>
    </w:p>
    <w:p>
      <w:pPr>
        <w:pStyle w:val="Normal"/>
        <w:jc w:val="both"/>
        <w:rPr>
          <w:sz w:val="28"/>
        </w:rPr>
      </w:pPr>
      <w:r>
        <w:rPr>
          <w:sz w:val="28"/>
        </w:rPr>
      </w:r>
    </w:p>
    <w:p>
      <w:pPr>
        <w:pStyle w:val="Normal"/>
        <w:jc w:val="both"/>
        <w:rPr/>
      </w:pPr>
      <w:r>
        <w:rPr/>
        <w:t>TO:</w:t>
        <w:tab/>
        <w:tab/>
      </w:r>
      <w:r>
        <w:rPr>
          <w:b/>
          <w:bCs/>
        </w:rPr>
        <w:t>Via EMail</w:t>
      </w:r>
    </w:p>
    <w:p>
      <w:pPr>
        <w:pStyle w:val="Normal"/>
        <w:ind w:firstLine="720" w:start="720" w:end="0"/>
        <w:jc w:val="both"/>
        <w:rPr/>
      </w:pPr>
      <w:r>
        <w:rPr/>
        <w:t>Mr. John C. Ale, 3AC1098</w:t>
      </w:r>
    </w:p>
    <w:p>
      <w:pPr>
        <w:pStyle w:val="Normal"/>
        <w:jc w:val="both"/>
        <w:rPr/>
      </w:pPr>
      <w:r>
        <w:rPr/>
        <w:tab/>
        <w:tab/>
        <w:t>Mr. Alvin Alexanderson</w:t>
      </w:r>
    </w:p>
    <w:p>
      <w:pPr>
        <w:pStyle w:val="Normal"/>
        <w:jc w:val="both"/>
        <w:rPr/>
      </w:pPr>
      <w:r>
        <w:rPr/>
        <w:tab/>
        <w:tab/>
        <w:t>Mr. Steve W. Duffy, GPO 2788</w:t>
      </w:r>
    </w:p>
    <w:p>
      <w:pPr>
        <w:pStyle w:val="Normal"/>
        <w:jc w:val="both"/>
        <w:rPr/>
      </w:pPr>
      <w:r>
        <w:rPr/>
        <w:tab/>
        <w:tab/>
        <w:t>Ms. Barbara Gray, EB 3874</w:t>
      </w:r>
    </w:p>
    <w:p>
      <w:pPr>
        <w:pStyle w:val="Normal"/>
        <w:jc w:val="both"/>
        <w:rPr/>
      </w:pPr>
      <w:r>
        <w:rPr/>
        <w:tab/>
        <w:tab/>
        <w:t>Mr. Mark E. Haedicke EB 3325</w:t>
      </w:r>
    </w:p>
    <w:p>
      <w:pPr>
        <w:pStyle w:val="Normal"/>
        <w:jc w:val="both"/>
        <w:rPr/>
      </w:pPr>
      <w:r>
        <w:rPr/>
        <w:tab/>
        <w:tab/>
        <w:t>Ms. Julia Heintz-Murray, EB 3835</w:t>
      </w:r>
    </w:p>
    <w:p>
      <w:pPr>
        <w:pStyle w:val="Normal"/>
        <w:jc w:val="both"/>
        <w:rPr/>
      </w:pPr>
      <w:r>
        <w:rPr/>
        <w:tab/>
        <w:tab/>
        <w:t>Ms. Elizabeth J. Labanowski, EB 4862</w:t>
      </w:r>
    </w:p>
    <w:p>
      <w:pPr>
        <w:pStyle w:val="Normal"/>
        <w:jc w:val="both"/>
        <w:rPr/>
      </w:pPr>
      <w:r>
        <w:rPr/>
        <w:tab/>
        <w:tab/>
        <w:t>Mr. Michael P. Moran, EB 4773</w:t>
      </w:r>
    </w:p>
    <w:p>
      <w:pPr>
        <w:pStyle w:val="Normal"/>
        <w:jc w:val="both"/>
        <w:rPr/>
      </w:pPr>
      <w:r>
        <w:rPr/>
        <w:tab/>
        <w:tab/>
        <w:t>Ms. Janet K. Place, OMA 430</w:t>
      </w:r>
    </w:p>
    <w:p>
      <w:pPr>
        <w:pStyle w:val="Normal"/>
        <w:jc w:val="both"/>
        <w:rPr/>
      </w:pPr>
      <w:r>
        <w:rPr/>
        <w:tab/>
        <w:tab/>
        <w:t>Mr. Rex R. Rogers, EB 4842</w:t>
      </w:r>
    </w:p>
    <w:p>
      <w:pPr>
        <w:pStyle w:val="Normal"/>
        <w:jc w:val="both"/>
        <w:rPr/>
      </w:pPr>
      <w:r>
        <w:rPr/>
        <w:tab/>
        <w:tab/>
        <w:t>Ms. Vicki Sharp, EB 0733</w:t>
      </w:r>
    </w:p>
    <w:p>
      <w:pPr>
        <w:pStyle w:val="Normal"/>
        <w:jc w:val="both"/>
        <w:rPr/>
      </w:pPr>
      <w:r>
        <w:rPr/>
        <w:tab/>
        <w:tab/>
        <w:t>Mr. Adam Umanoff, EREC</w:t>
      </w:r>
    </w:p>
    <w:p>
      <w:pPr>
        <w:pStyle w:val="Normal"/>
        <w:jc w:val="both"/>
        <w:rPr/>
      </w:pPr>
      <w:r>
        <w:rPr/>
        <w:tab/>
        <w:tab/>
        <w:t>Mr. Robert H. Walls, Jr., 3AC2109</w:t>
      </w:r>
    </w:p>
    <w:p>
      <w:pPr>
        <w:pStyle w:val="Normal"/>
        <w:jc w:val="both"/>
        <w:rPr/>
      </w:pPr>
      <w:r>
        <w:rPr/>
      </w:r>
    </w:p>
    <w:p>
      <w:pPr>
        <w:pStyle w:val="Normal"/>
        <w:jc w:val="both"/>
        <w:rPr/>
      </w:pPr>
      <w:r>
        <w:rPr/>
        <w:t>FROM:</w:t>
        <w:tab/>
        <w:t>C. Robert Vote</w:t>
      </w:r>
    </w:p>
    <w:p>
      <w:pPr>
        <w:pStyle w:val="Normal"/>
        <w:jc w:val="both"/>
        <w:rPr/>
      </w:pPr>
      <w:r>
        <w:rPr/>
        <w:tab/>
        <w:tab/>
        <w:t>(713) 853-7492</w:t>
      </w:r>
    </w:p>
    <w:p>
      <w:pPr>
        <w:pStyle w:val="Normal"/>
        <w:jc w:val="both"/>
        <w:rPr/>
      </w:pPr>
      <w:r>
        <w:rPr/>
      </w:r>
    </w:p>
    <w:p>
      <w:pPr>
        <w:pStyle w:val="Normal"/>
        <w:ind w:hanging="1440" w:start="1440" w:end="0"/>
        <w:jc w:val="both"/>
        <w:rPr/>
      </w:pPr>
      <w:r>
        <w:rPr/>
        <w:t>RE:</w:t>
        <w:tab/>
      </w:r>
      <w:r>
        <w:rPr>
          <w:i/>
          <w:iCs/>
        </w:rPr>
        <w:t xml:space="preserve">Stone &amp; Webster, Incorporated, et al, Debtors – Chapter 11 Bankruptcy Proceeding; </w:t>
      </w:r>
      <w:r>
        <w:rPr/>
        <w:t>No. 00-2142(RRM), In the U.S. Bankruptcy Court, District of Delaware</w:t>
      </w:r>
    </w:p>
    <w:p>
      <w:pPr>
        <w:pStyle w:val="Normal"/>
        <w:jc w:val="both"/>
        <w:rPr/>
      </w:pPr>
      <w:r>
        <w:rPr/>
      </w:r>
    </w:p>
    <w:p>
      <w:pPr>
        <w:pStyle w:val="Normal"/>
        <w:jc w:val="both"/>
        <w:rPr/>
      </w:pPr>
      <w:r>
        <w:rPr/>
        <w:t>DATE:</w:t>
        <w:tab/>
        <w:tab/>
        <w:t>July 6, 2000</w:t>
      </w:r>
    </w:p>
    <w:p>
      <w:pPr>
        <w:pStyle w:val="Normal"/>
        <w:pBdr>
          <w:bottom w:val="single" w:sz="12" w:space="1" w:color="000000"/>
        </w:pBdr>
        <w:jc w:val="both"/>
        <w:rPr/>
      </w:pPr>
      <w:r>
        <w:rPr/>
      </w:r>
    </w:p>
    <w:p>
      <w:pPr>
        <w:pStyle w:val="Normal"/>
        <w:tabs>
          <w:tab w:val="clear" w:pos="720"/>
          <w:tab w:val="left" w:pos="1440" w:leader="none"/>
        </w:tabs>
        <w:jc w:val="both"/>
        <w:rPr/>
      </w:pPr>
      <w:r>
        <w:rPr/>
        <w:tab/>
      </w:r>
    </w:p>
    <w:p>
      <w:pPr>
        <w:pStyle w:val="Normal"/>
        <w:tabs>
          <w:tab w:val="clear" w:pos="720"/>
          <w:tab w:val="left" w:pos="1440" w:leader="none"/>
        </w:tabs>
        <w:jc w:val="both"/>
        <w:rPr/>
      </w:pPr>
      <w:r>
        <w:rPr/>
        <w:tab/>
        <w:t>The following documents regarding the above referenced bankruptcy were served on Enron Corp.:</w:t>
      </w:r>
    </w:p>
    <w:p>
      <w:pPr>
        <w:pStyle w:val="Normal"/>
        <w:tabs>
          <w:tab w:val="clear" w:pos="720"/>
          <w:tab w:val="left" w:pos="1440" w:leader="none"/>
        </w:tabs>
        <w:jc w:val="both"/>
        <w:rPr/>
      </w:pPr>
      <w:r>
        <w:rPr/>
      </w:r>
    </w:p>
    <w:p>
      <w:pPr>
        <w:pStyle w:val="Normal"/>
        <w:numPr>
          <w:ilvl w:val="0"/>
          <w:numId w:val="1"/>
        </w:numPr>
        <w:tabs>
          <w:tab w:val="clear" w:pos="720"/>
          <w:tab w:val="left" w:pos="1440" w:leader="none"/>
        </w:tabs>
        <w:jc w:val="both"/>
        <w:rPr/>
      </w:pPr>
      <w:r>
        <w:rPr/>
        <w:t xml:space="preserve">Notice, Motion for Order Approving Asset Purchase Agreement for Sale, etc., with exhibits, Notice of Filing Amendment, Notice of Auction and Sale Hearing, Revised Order, and Notice of Revised Order served on </w:t>
      </w:r>
      <w:r>
        <w:rPr>
          <w:b/>
          <w:bCs/>
        </w:rPr>
        <w:t>Enron Corp</w:t>
      </w:r>
      <w:r>
        <w:rPr/>
        <w:t>. by Federal Express on June 27, 2000</w:t>
      </w:r>
    </w:p>
    <w:p>
      <w:pPr>
        <w:pStyle w:val="Normal"/>
        <w:numPr>
          <w:ilvl w:val="0"/>
          <w:numId w:val="1"/>
        </w:numPr>
        <w:tabs>
          <w:tab w:val="clear" w:pos="720"/>
          <w:tab w:val="left" w:pos="1440" w:leader="none"/>
        </w:tabs>
        <w:jc w:val="both"/>
        <w:rPr/>
      </w:pPr>
      <w:r>
        <w:rPr/>
        <w:t xml:space="preserve">Notice of Commencement of Chapter 11 Bankruptcy Cases, Meeting of Creditors and Fixing of Certain Dates served on </w:t>
      </w:r>
      <w:r>
        <w:rPr>
          <w:b/>
          <w:bCs/>
        </w:rPr>
        <w:t>EGPP Services, Inc</w:t>
      </w:r>
      <w:r>
        <w:rPr/>
        <w:t>. by regular mail on June 29, 2000</w:t>
      </w:r>
    </w:p>
    <w:p>
      <w:pPr>
        <w:pStyle w:val="Normal"/>
        <w:numPr>
          <w:ilvl w:val="0"/>
          <w:numId w:val="1"/>
        </w:numPr>
        <w:tabs>
          <w:tab w:val="clear" w:pos="720"/>
          <w:tab w:val="left" w:pos="1440" w:leader="none"/>
        </w:tabs>
        <w:jc w:val="both"/>
        <w:rPr/>
      </w:pPr>
      <w:r>
        <w:rPr/>
        <w:t xml:space="preserve">Notice of Filing of Disclosure Schedules to Asset Purchase by and Among Stone &amp; Webster, Incorporated, Certain Subsidiaries of Stone &amp; Webster, Incorporated and Jacobs Engineering Group, Inc. served on </w:t>
      </w:r>
      <w:r>
        <w:rPr>
          <w:b/>
          <w:bCs/>
        </w:rPr>
        <w:t>Enron Corp</w:t>
      </w:r>
      <w:r>
        <w:rPr/>
        <w:t>. by Federal Express on June 30, 2000</w:t>
      </w:r>
    </w:p>
    <w:p>
      <w:pPr>
        <w:pStyle w:val="Normal"/>
        <w:tabs>
          <w:tab w:val="clear" w:pos="720"/>
          <w:tab w:val="left" w:pos="1440" w:leader="none"/>
        </w:tabs>
        <w:jc w:val="both"/>
        <w:rPr/>
      </w:pPr>
      <w:r>
        <w:rPr/>
      </w:r>
    </w:p>
    <w:p>
      <w:pPr>
        <w:pStyle w:val="Normal"/>
        <w:tabs>
          <w:tab w:val="clear" w:pos="720"/>
          <w:tab w:val="left" w:pos="1440" w:leader="none"/>
        </w:tabs>
        <w:jc w:val="both"/>
        <w:rPr/>
      </w:pPr>
      <w:r>
        <w:rPr/>
        <w:tab/>
        <w:t xml:space="preserve">Please verify with your business units whether or not the Chapter 11 Bankruptcy of Stone &amp; Webster, Incorporated or the proposed sale to Jacobs Engineering Group, Inc. relates to any of  their operations.  If anyone is interested in receiving copies of the referenced documents, please call Lisa Robichaux at 853-3168 and she will provide the copies.  </w:t>
      </w:r>
    </w:p>
    <w:p>
      <w:pPr>
        <w:pStyle w:val="Normal"/>
        <w:tabs>
          <w:tab w:val="clear" w:pos="720"/>
          <w:tab w:val="left" w:pos="1440" w:leader="none"/>
        </w:tabs>
        <w:jc w:val="both"/>
        <w:rPr/>
      </w:pPr>
      <w:r>
        <w:rPr/>
      </w:r>
    </w:p>
    <w:p>
      <w:pPr>
        <w:pStyle w:val="Normal"/>
        <w:tabs>
          <w:tab w:val="clear" w:pos="720"/>
          <w:tab w:val="left" w:pos="1440" w:leader="none"/>
        </w:tabs>
        <w:jc w:val="both"/>
        <w:rPr/>
      </w:pPr>
      <w:r>
        <w:rPr/>
        <w:tab/>
        <w:t>I will appreciate a quick phone call or response by Lotus Notes to advise me if you know of any reason why this bankruptcy or sale will affect your business operations.  Thanks again for your prompt responses.</w:t>
      </w:r>
    </w:p>
    <w:p>
      <w:pPr>
        <w:pStyle w:val="Normal"/>
        <w:jc w:val="center"/>
        <w:rPr/>
      </w:pPr>
      <w:r>
        <w:rPr/>
        <w:t>________________________________________________</w:t>
      </w:r>
    </w:p>
    <w:p>
      <w:pPr>
        <w:pStyle w:val="Normal"/>
        <w:rPr/>
      </w:pPr>
      <w:r>
        <w:rPr/>
      </w:r>
    </w:p>
    <w:p>
      <w:pPr>
        <w:pStyle w:val="Normal"/>
        <w:rPr/>
      </w:pPr>
      <w:r>
        <w:rPr/>
      </w:r>
    </w:p>
    <w:p>
      <w:pPr>
        <w:pStyle w:val="Normal"/>
        <w:rPr/>
      </w:pPr>
      <w:r>
        <w:rPr/>
        <w:t>cc:</w:t>
        <w:tab/>
        <w:t>Mr. Jim Derrick, EB 5011</w:t>
      </w:r>
    </w:p>
    <w:p>
      <w:pPr>
        <w:pStyle w:val="Normal"/>
        <w:ind w:firstLine="720" w:end="0"/>
        <w:rPr/>
      </w:pPr>
      <w:r>
        <w:rPr/>
        <w:t>Mr. Bob Williams, 3AC1923</w:t>
      </w:r>
    </w:p>
    <w:p>
      <w:pPr>
        <w:pStyle w:val="Normal"/>
        <w:rPr/>
      </w:pPr>
      <w:r>
        <w:rPr/>
        <w:tab/>
        <w:t>Mr. Jim Armogida, EB 4849</w:t>
      </w:r>
    </w:p>
    <w:p>
      <w:pPr>
        <w:pStyle w:val="Normal"/>
        <w:rPr/>
      </w:pPr>
      <w:r>
        <w:rPr/>
        <w:tab/>
        <w:t>Mr. Richard B. Sanders, EB 3827</w:t>
      </w:r>
    </w:p>
    <w:p>
      <w:pPr>
        <w:pStyle w:val="Normal"/>
        <w:rPr/>
      </w:pPr>
      <w:r>
        <w:rPr/>
        <w:tab/>
        <w:t>Mr. Charles Cheek, EB 4821</w:t>
      </w:r>
    </w:p>
    <w:p>
      <w:pPr>
        <w:pStyle w:val="Normal"/>
        <w:rPr>
          <w:sz w:val="18"/>
        </w:rPr>
      </w:pPr>
      <w:r>
        <w:rPr>
          <w:sz w:val="18"/>
        </w:rPr>
      </w:r>
    </w:p>
    <w:p>
      <w:pPr>
        <w:pStyle w:val="Normal"/>
        <w:rPr/>
      </w:pPr>
      <w:r>
        <w:rPr>
          <w:sz w:val="16"/>
        </w:rPr>
        <w:t>\\enehou\houston\common\Corporate\Litigation\LIT\CORPSERVICE\\</w:t>
      </w:r>
      <w:r>
        <w:rPr>
          <w:sz w:val="16"/>
        </w:rPr>
        <w:fldChar w:fldCharType="begin"/>
      </w:r>
      <w:r>
        <w:rPr>
          <w:sz w:val="16"/>
        </w:rPr>
        <w:instrText xml:space="preserve"> FILENAME </w:instrText>
      </w:r>
      <w:r>
        <w:rPr>
          <w:sz w:val="16"/>
        </w:rPr>
        <w:fldChar w:fldCharType="separate"/>
      </w:r>
      <w:r>
        <w:rPr>
          <w:sz w:val="16"/>
        </w:rPr>
        <w:t>Mm_GC_1.doc</w:t>
      </w:r>
      <w:r>
        <w:rPr>
          <w:sz w:val="16"/>
        </w:rPr>
        <w:fldChar w:fldCharType="end"/>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June 9, 1999</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2000-07-06T14:01:00Z</dcterms:created>
  <dc:creator>Enron</dc:creator>
  <dc:description/>
  <dc:language>en-CA</dc:language>
  <cp:lastModifiedBy>mlawles</cp:lastModifiedBy>
  <cp:lastPrinted>2000-07-06T13:54:00Z</cp:lastPrinted>
  <dcterms:modified xsi:type="dcterms:W3CDTF">2000-07-06T16:24:00Z</dcterms:modified>
  <cp:revision>3</cp:revision>
  <dc:subject/>
  <dc:title> LITIGATION UNIT</dc:title>
</cp:coreProperties>
</file>