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CG Times (W1);Times New Roman" w:hAnsi="CG Times (W1);Times New Roman" w:cs="CG Times (W1);Times New Roman"/>
          <w:sz w:val="20"/>
        </w:rPr>
      </w:pPr>
      <w:r>
        <w:rPr>
          <w:rFonts w:cs="CG Times (W1);Times New Roman" w:ascii="CG Times (W1);Times New Roman" w:hAnsi="CG Times (W1);Times New Roman"/>
          <w:sz w:val="20"/>
        </w:rPr>
        <w:drawing>
          <wp:inline distT="0" distB="0" distL="0" distR="0">
            <wp:extent cx="911225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455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70"/>
        <w:gridCol w:w="4230"/>
        <w:gridCol w:w="1418"/>
        <w:gridCol w:w="2633"/>
      </w:tblGrid>
      <w:tr>
        <w:trPr>
          <w:trHeight w:val="523" w:hRule="exact"/>
        </w:trPr>
        <w:tc>
          <w:tcPr>
            <w:tcW w:w="1170" w:type="dxa"/>
            <w:tcBorders/>
          </w:tcPr>
          <w:p>
            <w:pPr>
              <w:pStyle w:val="Normal"/>
              <w:spacing w:before="60" w:after="60"/>
              <w:ind w:start="134" w:end="0"/>
              <w:rPr/>
            </w:pPr>
            <w:r>
              <w:rPr/>
              <w:t xml:space="preserve">To: </w:t>
            </w:r>
          </w:p>
        </w:tc>
        <w:tc>
          <w:tcPr>
            <w:tcW w:w="4230" w:type="dxa"/>
            <w:tcBorders/>
          </w:tcPr>
          <w:p>
            <w:pPr>
              <w:pStyle w:val="To"/>
              <w:spacing w:before="60" w:after="60"/>
              <w:rPr>
                <w:sz w:val="24"/>
              </w:rPr>
            </w:pPr>
            <w:bookmarkStart w:id="0" w:name="to"/>
            <w:bookmarkEnd w:id="0"/>
            <w:r>
              <w:rPr>
                <w:sz w:val="24"/>
              </w:rPr>
              <w:t>Distribution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spacing w:before="60" w:after="60"/>
              <w:ind w:start="-18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33" w:type="dxa"/>
            <w:tcBorders/>
          </w:tcPr>
          <w:p>
            <w:pPr>
              <w:pStyle w:val="Normal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170" w:type="dxa"/>
            <w:tcBorders/>
          </w:tcPr>
          <w:p>
            <w:pPr>
              <w:pStyle w:val="Normal"/>
              <w:spacing w:before="60" w:after="60"/>
              <w:ind w:firstLine="28" w:start="134" w:end="0"/>
              <w:rPr/>
            </w:pPr>
            <w:r>
              <w:rPr/>
              <w:t>From:</w:t>
            </w:r>
          </w:p>
        </w:tc>
        <w:tc>
          <w:tcPr>
            <w:tcW w:w="4230" w:type="dxa"/>
            <w:tcBorders/>
          </w:tcPr>
          <w:p>
            <w:pPr>
              <w:pStyle w:val="From"/>
              <w:spacing w:before="0" w:after="60"/>
              <w:rPr>
                <w:position w:val="-4"/>
                <w:sz w:val="22"/>
              </w:rPr>
            </w:pPr>
            <w:r>
              <w:rPr>
                <w:position w:val="-4"/>
                <w:sz w:val="22"/>
              </w:rPr>
              <w:t xml:space="preserve">Shelley Corman, Frazier King, </w:t>
            </w:r>
          </w:p>
          <w:p>
            <w:pPr>
              <w:pStyle w:val="From"/>
              <w:spacing w:before="0" w:after="60"/>
              <w:rPr>
                <w:position w:val="-4"/>
                <w:sz w:val="22"/>
              </w:rPr>
            </w:pPr>
            <w:r>
              <w:rPr>
                <w:position w:val="-4"/>
                <w:sz w:val="22"/>
              </w:rPr>
              <w:t>Dari Dornan and Maria Pavlou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spacing w:before="60" w:after="60"/>
              <w:ind w:start="-180" w:end="0"/>
              <w:jc w:val="end"/>
              <w:rPr>
                <w:position w:val="-4"/>
                <w:sz w:val="22"/>
              </w:rPr>
            </w:pPr>
            <w:r>
              <w:rPr>
                <w:position w:val="-4"/>
                <w:sz w:val="22"/>
              </w:rPr>
            </w:r>
          </w:p>
        </w:tc>
        <w:tc>
          <w:tcPr>
            <w:tcW w:w="2633" w:type="dxa"/>
            <w:tcBorders/>
          </w:tcPr>
          <w:p>
            <w:pPr>
              <w:pStyle w:val="Department"/>
              <w:rPr>
                <w:rFonts w:ascii="Times New Roman" w:hAnsi="Times New Roman" w:cs="Times New Roman"/>
                <w:sz w:val="24"/>
              </w:rPr>
            </w:pPr>
            <w:bookmarkStart w:id="1" w:name="From"/>
            <w:bookmarkEnd w:id="1"/>
            <w:r>
              <w:rPr>
                <w:rFonts w:cs="Times New Roman" w:ascii="Times New Roman" w:hAnsi="Times New Roman"/>
                <w:sz w:val="24"/>
              </w:rPr>
              <w:t>GPG - Legal</w:t>
            </w:r>
          </w:p>
        </w:tc>
      </w:tr>
      <w:tr>
        <w:trPr>
          <w:trHeight w:val="216" w:hRule="exact"/>
        </w:trPr>
        <w:tc>
          <w:tcPr>
            <w:tcW w:w="1170" w:type="dxa"/>
            <w:tcBorders/>
          </w:tcPr>
          <w:p>
            <w:pPr>
              <w:pStyle w:val="Normal"/>
              <w:snapToGrid w:val="false"/>
              <w:spacing w:before="60" w:after="60"/>
              <w:ind w:start="-180" w:end="0"/>
              <w:jc w:val="end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4230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spacing w:before="0" w:after="60"/>
              <w:rPr>
                <w:sz w:val="22"/>
              </w:rPr>
            </w:pPr>
            <w:r>
              <w:rPr>
                <w:sz w:val="22"/>
              </w:rPr>
              <w:t>Dari Dornan and Susan Scott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spacing w:before="60" w:after="60"/>
              <w:ind w:start="-18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33" w:type="dxa"/>
            <w:tcBorders/>
          </w:tcPr>
          <w:p>
            <w:pPr>
              <w:pStyle w:val="Normal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/>
        <w:tc>
          <w:tcPr>
            <w:tcW w:w="1170" w:type="dxa"/>
            <w:tcBorders>
              <w:bottom w:val="single" w:sz="18" w:space="0" w:color="000000"/>
            </w:tcBorders>
          </w:tcPr>
          <w:p>
            <w:pPr>
              <w:pStyle w:val="Normal"/>
              <w:spacing w:before="60" w:after="60"/>
              <w:ind w:start="-180" w:end="0"/>
              <w:jc w:val="center"/>
              <w:rPr/>
            </w:pPr>
            <w:r>
              <w:rPr/>
              <w:t>Subject:</w:t>
            </w:r>
          </w:p>
        </w:tc>
        <w:tc>
          <w:tcPr>
            <w:tcW w:w="4230" w:type="dxa"/>
            <w:tcBorders>
              <w:bottom w:val="single" w:sz="18" w:space="0" w:color="000000"/>
            </w:tcBorders>
          </w:tcPr>
          <w:p>
            <w:pPr>
              <w:pStyle w:val="Normal"/>
              <w:spacing w:before="60" w:after="60"/>
              <w:rPr>
                <w:sz w:val="22"/>
              </w:rPr>
            </w:pPr>
            <w:bookmarkStart w:id="2" w:name="Subject"/>
            <w:bookmarkEnd w:id="2"/>
            <w:r>
              <w:rPr>
                <w:sz w:val="22"/>
              </w:rPr>
              <w:t>Compliance with Standard L (Order No. 599)</w:t>
            </w:r>
          </w:p>
        </w:tc>
        <w:tc>
          <w:tcPr>
            <w:tcW w:w="1418" w:type="dxa"/>
            <w:tcBorders>
              <w:bottom w:val="single" w:sz="18" w:space="0" w:color="000000"/>
            </w:tcBorders>
          </w:tcPr>
          <w:p>
            <w:pPr>
              <w:pStyle w:val="Normal"/>
              <w:spacing w:before="60" w:after="60"/>
              <w:ind w:start="-180" w:end="0"/>
              <w:jc w:val="end"/>
              <w:rPr/>
            </w:pPr>
            <w:r>
              <w:rPr/>
              <w:t xml:space="preserve">   </w:t>
            </w:r>
            <w:r>
              <w:rPr/>
              <w:t>Date:</w:t>
            </w:r>
          </w:p>
        </w:tc>
        <w:tc>
          <w:tcPr>
            <w:tcW w:w="2633" w:type="dxa"/>
            <w:tcBorders>
              <w:bottom w:val="single" w:sz="18" w:space="0" w:color="000000"/>
            </w:tcBorders>
          </w:tcPr>
          <w:p>
            <w:pPr>
              <w:pStyle w:val="Date"/>
              <w:spacing w:before="60" w:after="60"/>
              <w:rPr>
                <w:sz w:val="24"/>
              </w:rPr>
            </w:pPr>
            <w:r>
              <w:rPr>
                <w:sz w:val="24"/>
              </w:rPr>
              <w:t>August 21, 2000</w:t>
            </w:r>
          </w:p>
        </w:tc>
      </w:tr>
    </w:tbl>
    <w:p>
      <w:pPr>
        <w:pStyle w:val="Heading"/>
        <w:jc w:val="both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jc w:val="both"/>
        <w:rPr>
          <w:b w:val="false"/>
          <w:sz w:val="22"/>
        </w:rPr>
      </w:pPr>
      <w:r>
        <w:rPr>
          <w:b w:val="false"/>
          <w:sz w:val="22"/>
        </w:rPr>
        <w:tab/>
        <w:t>Attached is the Twenty-first, Revised List of Potential Marketing Affiliates for the Enron Corp pipelines.  This list has been revised to reflect the addition of East Sour Lake, LLC as a new Exempt Potential Marketing Affiliate.</w:t>
      </w:r>
    </w:p>
    <w:p>
      <w:pPr>
        <w:pStyle w:val="Heading"/>
        <w:jc w:val="both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jc w:val="both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jc w:val="both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jc w:val="both"/>
        <w:rPr>
          <w:b w:val="false"/>
          <w:sz w:val="22"/>
        </w:rPr>
      </w:pPr>
      <w:r>
        <w:rPr>
          <w:b w:val="false"/>
          <w:sz w:val="22"/>
        </w:rPr>
      </w:r>
    </w:p>
    <w:p>
      <w:pPr>
        <w:sectPr>
          <w:headerReference w:type="default" r:id="rId3"/>
          <w:headerReference w:type="first" r:id="rId4"/>
          <w:footerReference w:type="default" r:id="rId5"/>
          <w:footerReference w:type="first" r:id="rId6"/>
          <w:type w:val="nextPage"/>
          <w:pgSz w:w="12240" w:h="15840"/>
          <w:pgMar w:left="1267" w:right="1267" w:gutter="0" w:header="0" w:top="720" w:footer="432" w:bottom="488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"/>
        <w:jc w:val="both"/>
        <w:rPr/>
      </w:pPr>
      <w:r>
        <w:rPr>
          <w:b w:val="false"/>
          <w:sz w:val="20"/>
          <w:u w:val="single"/>
        </w:rPr>
        <w:t>Distribution</w:t>
      </w:r>
      <w:r>
        <w:rPr>
          <w:b w:val="false"/>
          <w:sz w:val="20"/>
        </w:rPr>
        <w:t>:</w:t>
      </w:r>
    </w:p>
    <w:p>
      <w:pPr>
        <w:pStyle w:val="Heading"/>
        <w:spacing w:before="240" w:after="0"/>
        <w:jc w:val="both"/>
        <w:rPr>
          <w:b w:val="false"/>
          <w:sz w:val="22"/>
        </w:rPr>
      </w:pPr>
      <w:r>
        <w:rPr>
          <w:b w:val="false"/>
          <w:sz w:val="22"/>
        </w:rPr>
        <w:t xml:space="preserve">Florida Gas Transmission Company </w:t>
      </w:r>
    </w:p>
    <w:p>
      <w:pPr>
        <w:pStyle w:val="Heading"/>
        <w:ind w:hanging="72" w:start="432" w:end="0"/>
        <w:rPr>
          <w:b w:val="false"/>
          <w:sz w:val="22"/>
        </w:rPr>
      </w:pPr>
      <w:r>
        <w:rPr>
          <w:b w:val="false"/>
          <w:sz w:val="22"/>
        </w:rPr>
        <w:t>Primary Contact:</w:t>
        <w:tab/>
        <w:t>Kim Perez</w:t>
      </w:r>
    </w:p>
    <w:p>
      <w:pPr>
        <w:pStyle w:val="Heading"/>
        <w:ind w:hanging="72" w:start="432" w:end="0"/>
        <w:jc w:val="both"/>
        <w:rPr>
          <w:b w:val="false"/>
          <w:sz w:val="22"/>
        </w:rPr>
      </w:pPr>
      <w:r>
        <w:rPr>
          <w:b w:val="false"/>
          <w:sz w:val="22"/>
        </w:rPr>
        <w:t>Backup Contact:</w:t>
        <w:tab/>
        <w:t>Nancy Bastida</w:t>
      </w:r>
    </w:p>
    <w:p>
      <w:pPr>
        <w:pStyle w:val="Heading"/>
        <w:ind w:firstLine="432" w:start="1728" w:end="0"/>
        <w:jc w:val="both"/>
        <w:rPr>
          <w:b w:val="false"/>
          <w:sz w:val="22"/>
        </w:rPr>
      </w:pPr>
      <w:r>
        <w:rPr>
          <w:b w:val="false"/>
          <w:sz w:val="22"/>
        </w:rPr>
        <w:t>Georgi Landau</w:t>
      </w:r>
    </w:p>
    <w:p>
      <w:pPr>
        <w:pStyle w:val="Heading"/>
        <w:ind w:hanging="936" w:start="1296" w:end="0"/>
        <w:jc w:val="both"/>
        <w:rPr>
          <w:b w:val="false"/>
          <w:sz w:val="22"/>
        </w:rPr>
      </w:pPr>
      <w:r>
        <w:rPr>
          <w:b w:val="false"/>
          <w:sz w:val="22"/>
        </w:rPr>
        <w:t>Legal Contact:</w:t>
        <w:tab/>
        <w:tab/>
        <w:t>Frazier King</w:t>
      </w:r>
    </w:p>
    <w:p>
      <w:pPr>
        <w:pStyle w:val="Heading"/>
        <w:spacing w:before="240" w:after="0"/>
        <w:jc w:val="both"/>
        <w:rPr>
          <w:b w:val="false"/>
          <w:sz w:val="22"/>
        </w:rPr>
      </w:pPr>
      <w:r>
        <w:rPr>
          <w:b w:val="false"/>
          <w:sz w:val="22"/>
        </w:rPr>
        <w:t>Transwestern Pipeline Company</w:t>
      </w:r>
    </w:p>
    <w:p>
      <w:pPr>
        <w:pStyle w:val="Heading"/>
        <w:ind w:firstLine="360" w:end="0"/>
        <w:jc w:val="both"/>
        <w:rPr>
          <w:b w:val="false"/>
          <w:sz w:val="22"/>
        </w:rPr>
      </w:pPr>
      <w:r>
        <w:rPr>
          <w:b w:val="false"/>
          <w:sz w:val="22"/>
        </w:rPr>
        <w:t>Primary Contact:</w:t>
        <w:tab/>
        <w:t>Dennis Lee</w:t>
      </w:r>
    </w:p>
    <w:p>
      <w:pPr>
        <w:pStyle w:val="Heading"/>
        <w:ind w:firstLine="216" w:start="144" w:end="0"/>
        <w:jc w:val="both"/>
        <w:rPr>
          <w:b w:val="false"/>
          <w:sz w:val="22"/>
        </w:rPr>
      </w:pPr>
      <w:r>
        <w:rPr>
          <w:b w:val="false"/>
          <w:sz w:val="22"/>
        </w:rPr>
        <w:t>Backup Contact:</w:t>
        <w:tab/>
        <w:t>Pat Steele</w:t>
      </w:r>
    </w:p>
    <w:p>
      <w:pPr>
        <w:pStyle w:val="Heading"/>
        <w:ind w:firstLine="216" w:start="144" w:end="0"/>
        <w:jc w:val="both"/>
        <w:rPr>
          <w:b w:val="false"/>
          <w:sz w:val="22"/>
        </w:rPr>
      </w:pPr>
      <w:r>
        <w:rPr>
          <w:b w:val="false"/>
          <w:sz w:val="22"/>
        </w:rPr>
        <w:t>Legal Contact:</w:t>
        <w:tab/>
        <w:tab/>
        <w:t>Susan Scott</w:t>
      </w:r>
    </w:p>
    <w:p>
      <w:pPr>
        <w:pStyle w:val="Heading"/>
        <w:spacing w:before="240" w:after="0"/>
        <w:jc w:val="both"/>
        <w:rPr>
          <w:b w:val="false"/>
          <w:sz w:val="22"/>
        </w:rPr>
      </w:pPr>
      <w:r>
        <w:rPr>
          <w:b w:val="false"/>
          <w:sz w:val="22"/>
        </w:rPr>
        <w:t>Northern Natural Gas Company</w:t>
      </w:r>
    </w:p>
    <w:p>
      <w:pPr>
        <w:pStyle w:val="Heading"/>
        <w:ind w:firstLine="360" w:end="0"/>
        <w:jc w:val="both"/>
        <w:rPr>
          <w:b w:val="false"/>
          <w:sz w:val="22"/>
        </w:rPr>
      </w:pPr>
      <w:r>
        <w:rPr>
          <w:b w:val="false"/>
          <w:sz w:val="22"/>
        </w:rPr>
        <w:t>Primary Contact:</w:t>
        <w:tab/>
        <w:t>Dennis Lee</w:t>
      </w:r>
    </w:p>
    <w:p>
      <w:pPr>
        <w:pStyle w:val="Heading"/>
        <w:ind w:firstLine="216" w:start="144" w:end="0"/>
        <w:jc w:val="both"/>
        <w:rPr>
          <w:b w:val="false"/>
          <w:sz w:val="22"/>
        </w:rPr>
      </w:pPr>
      <w:r>
        <w:rPr>
          <w:b w:val="false"/>
          <w:sz w:val="22"/>
        </w:rPr>
        <w:t>Backup Contact:</w:t>
        <w:tab/>
        <w:t>Pat Steele</w:t>
      </w:r>
    </w:p>
    <w:p>
      <w:pPr>
        <w:pStyle w:val="Heading"/>
        <w:ind w:firstLine="216" w:start="144" w:end="0"/>
        <w:jc w:val="both"/>
        <w:rPr>
          <w:b w:val="false"/>
          <w:sz w:val="22"/>
        </w:rPr>
      </w:pPr>
      <w:r>
        <w:rPr>
          <w:b w:val="false"/>
          <w:sz w:val="22"/>
        </w:rPr>
        <w:t>Legal Contact</w:t>
        <w:tab/>
        <w:t>:</w:t>
        <w:tab/>
        <w:t>Dari Dornan</w:t>
      </w:r>
    </w:p>
    <w:p>
      <w:pPr>
        <w:pStyle w:val="Heading"/>
        <w:ind w:firstLine="216" w:start="144" w:end="0"/>
        <w:jc w:val="both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jc w:val="both"/>
        <w:rPr>
          <w:b w:val="false"/>
          <w:sz w:val="22"/>
        </w:rPr>
      </w:pPr>
      <w:r>
        <w:br w:type="column"/>
      </w:r>
      <w:r>
        <w:rPr>
          <w:b w:val="false"/>
          <w:sz w:val="22"/>
        </w:rPr>
      </w:r>
    </w:p>
    <w:p>
      <w:pPr>
        <w:pStyle w:val="Heading"/>
        <w:jc w:val="both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jc w:val="both"/>
        <w:rPr>
          <w:b w:val="false"/>
          <w:sz w:val="22"/>
        </w:rPr>
      </w:pPr>
      <w:r>
        <w:rPr>
          <w:b w:val="false"/>
          <w:sz w:val="22"/>
        </w:rPr>
        <w:t>cc:</w:t>
        <w:tab/>
        <w:t>Geneva Holland Hiroms</w:t>
      </w:r>
    </w:p>
    <w:p>
      <w:pPr>
        <w:pStyle w:val="Heading"/>
        <w:jc w:val="both"/>
        <w:rPr>
          <w:b w:val="false"/>
          <w:sz w:val="22"/>
        </w:rPr>
      </w:pPr>
      <w:r>
        <w:rPr>
          <w:b w:val="false"/>
          <w:sz w:val="22"/>
        </w:rPr>
        <w:tab/>
        <w:t>Bob Hall</w:t>
      </w:r>
    </w:p>
    <w:p>
      <w:pPr>
        <w:pStyle w:val="Heading"/>
        <w:jc w:val="both"/>
        <w:rPr>
          <w:b w:val="false"/>
          <w:sz w:val="22"/>
        </w:rPr>
      </w:pPr>
      <w:r>
        <w:rPr>
          <w:b w:val="false"/>
          <w:sz w:val="22"/>
        </w:rPr>
        <w:tab/>
        <w:t>Julia White</w:t>
      </w:r>
    </w:p>
    <w:p>
      <w:pPr>
        <w:pStyle w:val="Heading"/>
        <w:ind w:firstLine="432" w:end="0"/>
        <w:jc w:val="both"/>
        <w:rPr>
          <w:b w:val="false"/>
          <w:sz w:val="22"/>
        </w:rPr>
      </w:pPr>
      <w:r>
        <w:rPr>
          <w:b w:val="false"/>
          <w:sz w:val="22"/>
        </w:rPr>
        <w:t>Sheila Nacey</w:t>
      </w:r>
    </w:p>
    <w:p>
      <w:pPr>
        <w:pStyle w:val="Heading"/>
        <w:ind w:firstLine="432" w:end="0"/>
        <w:jc w:val="both"/>
        <w:rPr>
          <w:b w:val="false"/>
          <w:sz w:val="22"/>
        </w:rPr>
      </w:pPr>
      <w:r>
        <w:rPr>
          <w:b w:val="false"/>
          <w:sz w:val="22"/>
        </w:rPr>
        <w:t>Toby Kuehl</w:t>
      </w:r>
    </w:p>
    <w:p>
      <w:pPr>
        <w:pStyle w:val="Heading"/>
        <w:ind w:firstLine="432" w:end="0"/>
        <w:jc w:val="both"/>
        <w:rPr>
          <w:b w:val="false"/>
          <w:sz w:val="22"/>
        </w:rPr>
      </w:pPr>
      <w:r>
        <w:rPr>
          <w:b w:val="false"/>
          <w:sz w:val="22"/>
        </w:rPr>
        <w:t>Drew Fossum</w:t>
      </w:r>
    </w:p>
    <w:p>
      <w:pPr>
        <w:pStyle w:val="Heading"/>
        <w:ind w:firstLine="432" w:end="0"/>
        <w:jc w:val="both"/>
        <w:rPr>
          <w:b w:val="false"/>
          <w:sz w:val="22"/>
        </w:rPr>
      </w:pPr>
      <w:r>
        <w:rPr>
          <w:b w:val="false"/>
          <w:sz w:val="22"/>
        </w:rPr>
        <w:t>Dorothy McCoppin</w:t>
      </w:r>
    </w:p>
    <w:p>
      <w:pPr>
        <w:pStyle w:val="Heading"/>
        <w:ind w:firstLine="432" w:end="0"/>
        <w:jc w:val="both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rPr/>
      </w:pPr>
      <w:r>
        <w:rPr>
          <w:b w:val="false"/>
          <w:sz w:val="22"/>
          <w:u w:val="single"/>
        </w:rPr>
        <w:t>Informational cc</w:t>
      </w:r>
      <w:r>
        <w:rPr>
          <w:b w:val="false"/>
          <w:sz w:val="22"/>
        </w:rPr>
        <w:t>:</w:t>
      </w:r>
    </w:p>
    <w:p>
      <w:pPr>
        <w:pStyle w:val="Heading"/>
        <w:ind w:firstLine="432" w:end="0"/>
        <w:rPr>
          <w:b w:val="false"/>
          <w:sz w:val="22"/>
        </w:rPr>
      </w:pPr>
      <w:r>
        <w:rPr>
          <w:b w:val="false"/>
          <w:sz w:val="22"/>
        </w:rPr>
        <w:t>Janet Place</w:t>
      </w:r>
    </w:p>
    <w:p>
      <w:pPr>
        <w:pStyle w:val="Heading"/>
        <w:ind w:firstLine="432" w:end="0"/>
        <w:rPr>
          <w:b w:val="false"/>
          <w:sz w:val="22"/>
        </w:rPr>
      </w:pPr>
      <w:r>
        <w:rPr>
          <w:b w:val="false"/>
          <w:sz w:val="22"/>
        </w:rPr>
        <w:t>Bambi Heckerman</w:t>
      </w:r>
    </w:p>
    <w:p>
      <w:pPr>
        <w:pStyle w:val="Heading"/>
        <w:jc w:val="both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jc w:val="both"/>
        <w:rPr>
          <w:b w:val="false"/>
          <w:sz w:val="22"/>
          <w:u w:val="single"/>
        </w:rPr>
      </w:pPr>
      <w:r>
        <w:rPr>
          <w:b w:val="false"/>
          <w:sz w:val="22"/>
          <w:u w:val="single"/>
        </w:rPr>
        <w:t>External cc:</w:t>
      </w:r>
    </w:p>
    <w:p>
      <w:pPr>
        <w:pStyle w:val="Heading"/>
        <w:jc w:val="both"/>
        <w:rPr>
          <w:b w:val="false"/>
          <w:sz w:val="22"/>
        </w:rPr>
      </w:pPr>
      <w:r>
        <w:rPr>
          <w:b w:val="false"/>
          <w:sz w:val="22"/>
        </w:rPr>
        <w:t>cc:</w:t>
        <w:tab/>
        <w:t xml:space="preserve">John C. Griffin, </w:t>
      </w:r>
    </w:p>
    <w:p>
      <w:pPr>
        <w:pStyle w:val="Heading"/>
        <w:jc w:val="both"/>
        <w:rPr>
          <w:b w:val="false"/>
          <w:sz w:val="22"/>
        </w:rPr>
      </w:pPr>
      <w:r>
        <w:rPr>
          <w:b w:val="false"/>
          <w:sz w:val="22"/>
        </w:rPr>
        <w:tab/>
        <w:t>Southern Natural Gas Company</w:t>
      </w:r>
    </w:p>
    <w:p>
      <w:pPr>
        <w:pStyle w:val="Heading"/>
        <w:jc w:val="both"/>
        <w:rPr>
          <w:b w:val="false"/>
          <w:sz w:val="22"/>
        </w:rPr>
      </w:pPr>
      <w:r>
        <w:rPr>
          <w:b w:val="false"/>
          <w:sz w:val="22"/>
        </w:rPr>
        <w:tab/>
        <w:t>(For Citrus Corp affiliates only.)</w:t>
      </w:r>
    </w:p>
    <w:p>
      <w:pPr>
        <w:pStyle w:val="Heading"/>
        <w:jc w:val="both"/>
        <w:rPr>
          <w:b w:val="false"/>
          <w:sz w:val="22"/>
        </w:rPr>
      </w:pPr>
      <w:r>
        <w:rPr>
          <w:b w:val="false"/>
          <w:sz w:val="22"/>
        </w:rPr>
      </w:r>
    </w:p>
    <w:sectPr>
      <w:type w:val="continuous"/>
      <w:pgSz w:w="12240" w:h="15840"/>
      <w:pgMar w:left="1267" w:right="1267" w:gutter="0" w:header="0" w:top="720" w:footer="432" w:bottom="488"/>
      <w:cols w:num="2" w:equalWidth="false" w:sep="false">
        <w:col w:w="4032" w:space="316"/>
        <w:col w:w="5357"/>
      </w:cols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1)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" w:after="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900" w:leader="none"/>
        <w:tab w:val="left" w:pos="3420" w:leader="none"/>
        <w:tab w:val="left" w:pos="5760" w:leader="none"/>
        <w:tab w:val="left" w:pos="8640" w:leader="none"/>
      </w:tabs>
      <w:spacing w:before="60" w:after="60"/>
      <w:rPr>
        <w:rFonts w:ascii="Arial" w:hAnsi="Arial" w:cs="Arial"/>
        <w:sz w:val="16"/>
      </w:rPr>
    </w:pPr>
    <w:r>
      <w:rPr>
        <w:rFonts w:cs="Arial" w:ascii="Arial" w:hAnsi="Arial"/>
        <w:b/>
        <w:sz w:val="16"/>
      </w:rPr>
      <w:tab/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clear" w:pos="8640"/>
        <w:tab w:val="center" w:pos="4860" w:leader="none"/>
      </w:tabs>
      <w:spacing w:before="0" w:after="60"/>
      <w:jc w:val="center"/>
      <w:rPr>
        <w:rFonts w:ascii="Arial" w:hAnsi="Arial" w:cs="Arial"/>
        <w:b/>
        <w:sz w:val="12"/>
      </w:rPr>
    </w:pPr>
    <w:r>
      <w:rPr>
        <w:rFonts w:cs="Arial" w:ascii="Arial" w:hAnsi="Arial"/>
        <w:b/>
        <w:sz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90" w:end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00"/>
        <w:tab w:val="center" w:pos="4320" w:leader="none"/>
        <w:tab w:val="left" w:pos="6570" w:leader="none"/>
        <w:tab w:val="right" w:pos="8550" w:leader="none"/>
        <w:tab w:val="right" w:pos="10512" w:leader="none"/>
      </w:tabs>
      <w:spacing w:before="0" w:after="720"/>
      <w:rPr>
        <w:sz w:val="12"/>
      </w:rPr>
    </w:pPr>
    <w:r>
      <w:rPr>
        <w:sz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32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60" w:after="6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180" w:after="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numPr>
        <w:ilvl w:val="1"/>
        <w:numId w:val="1"/>
      </w:numPr>
      <w:spacing w:before="120" w:after="0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numPr>
        <w:ilvl w:val="2"/>
        <w:numId w:val="1"/>
      </w:numPr>
      <w:outlineLvl w:val="2"/>
    </w:pPr>
    <w:rPr>
      <w:sz w:val="20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16"/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paragraph" w:styleId="Heading">
    <w:name w:val="Heading"/>
    <w:basedOn w:val="Heading1"/>
    <w:next w:val="BodyText"/>
    <w:qFormat/>
    <w:pPr>
      <w:numPr>
        <w:ilvl w:val="0"/>
        <w:numId w:val="0"/>
      </w:numPr>
      <w:spacing w:before="0" w:after="0"/>
      <w:outlineLvl w:val="9"/>
    </w:pPr>
    <w:rPr/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Normal"/>
    <w:pPr>
      <w:ind w:hanging="360" w:start="72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432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432"/>
        <w:tab w:val="center" w:pos="4320" w:leader="none"/>
        <w:tab w:val="right" w:pos="9000" w:leader="none"/>
        <w:tab w:val="right" w:pos="10512" w:leader="none"/>
      </w:tabs>
      <w:spacing w:before="0" w:after="0"/>
    </w:pPr>
    <w:rPr/>
  </w:style>
  <w:style w:type="paragraph" w:styleId="FootnoteText">
    <w:name w:val="footnote text"/>
    <w:basedOn w:val="Normal"/>
    <w:pPr>
      <w:ind w:hanging="360" w:start="360" w:end="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SubList">
    <w:name w:val="SubList"/>
    <w:basedOn w:val="List"/>
    <w:qFormat/>
    <w:pPr>
      <w:ind w:hanging="360" w:start="1440" w:end="0"/>
    </w:pPr>
    <w:rPr/>
  </w:style>
  <w:style w:type="paragraph" w:styleId="Subject">
    <w:name w:val="Subject"/>
    <w:basedOn w:val="Normal"/>
    <w:qFormat/>
    <w:pPr/>
    <w:rPr/>
  </w:style>
  <w:style w:type="paragraph" w:styleId="Date">
    <w:name w:val="Date"/>
    <w:basedOn w:val="Normal"/>
    <w:qFormat/>
    <w:pPr/>
    <w:rPr/>
  </w:style>
  <w:style w:type="paragraph" w:styleId="To">
    <w:name w:val="To"/>
    <w:basedOn w:val="Normal"/>
    <w:qFormat/>
    <w:pPr/>
    <w:rPr/>
  </w:style>
  <w:style w:type="paragraph" w:styleId="From">
    <w:name w:val="From"/>
    <w:basedOn w:val="Normal"/>
    <w:qFormat/>
    <w:pPr/>
    <w:rPr/>
  </w:style>
  <w:style w:type="paragraph" w:styleId="Closed">
    <w:name w:val="Closed"/>
    <w:basedOn w:val="Normal"/>
    <w:qFormat/>
    <w:pPr>
      <w:spacing w:before="0" w:after="0"/>
    </w:pPr>
    <w:rPr/>
  </w:style>
  <w:style w:type="paragraph" w:styleId="CopyList">
    <w:name w:val="CopyList"/>
    <w:basedOn w:val="Normal"/>
    <w:qFormat/>
    <w:pPr>
      <w:tabs>
        <w:tab w:val="clear" w:pos="432"/>
        <w:tab w:val="left" w:pos="504" w:leader="none"/>
      </w:tabs>
      <w:spacing w:before="360" w:after="0"/>
      <w:ind w:hanging="504" w:start="504" w:end="0"/>
    </w:pPr>
    <w:rPr/>
  </w:style>
  <w:style w:type="paragraph" w:styleId="Department">
    <w:name w:val="Department"/>
    <w:basedOn w:val="Normal"/>
    <w:qFormat/>
    <w:pPr>
      <w:spacing w:before="0" w:after="0"/>
    </w:pPr>
    <w:rPr>
      <w:rFonts w:ascii="Arial" w:hAnsi="Arial"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2000-08-21T18:26:00Z</dcterms:created>
  <dc:creator>jcones</dc:creator>
  <dc:description/>
  <dc:language>en-CA</dc:language>
  <cp:lastModifiedBy>fking</cp:lastModifiedBy>
  <cp:lastPrinted>2000-08-21T16:47:00Z</cp:lastPrinted>
  <dcterms:modified xsi:type="dcterms:W3CDTF">2000-08-21T19:18:00Z</dcterms:modified>
  <cp:revision>4</cp:revision>
  <dc:subject/>
  <dc:title> </dc:title>
</cp:coreProperties>
</file>