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CG Times (W1);Times New Roman" w:hAnsi="CG Times (W1);Times New Roman" w:cs="CG Times (W1);Times New Roman"/>
          <w:sz w:val="20"/>
        </w:rPr>
      </w:pPr>
      <w:r>
        <w:rPr>
          <w:rFonts w:cs="CG Times (W1);Times New Roman" w:ascii="CG Times (W1);Times New Roman" w:hAnsi="CG Times (W1);Times New Roman"/>
          <w:sz w:val="20"/>
        </w:rPr>
        <w:drawing>
          <wp:inline distT="0" distB="0" distL="0" distR="0">
            <wp:extent cx="911225" cy="9144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455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170"/>
        <w:gridCol w:w="4230"/>
        <w:gridCol w:w="1418"/>
        <w:gridCol w:w="2633"/>
      </w:tblGrid>
      <w:tr>
        <w:trPr>
          <w:trHeight w:val="523" w:hRule="exact"/>
        </w:trPr>
        <w:tc>
          <w:tcPr>
            <w:tcW w:w="1170" w:type="dxa"/>
            <w:tcBorders/>
          </w:tcPr>
          <w:p>
            <w:pPr>
              <w:pStyle w:val="Normal"/>
              <w:spacing w:before="60" w:after="60"/>
              <w:ind w:start="134" w:end="0"/>
              <w:rPr/>
            </w:pPr>
            <w:r>
              <w:rPr/>
              <w:t xml:space="preserve">To: </w:t>
            </w:r>
          </w:p>
        </w:tc>
        <w:tc>
          <w:tcPr>
            <w:tcW w:w="4230" w:type="dxa"/>
            <w:tcBorders/>
          </w:tcPr>
          <w:p>
            <w:pPr>
              <w:pStyle w:val="To"/>
              <w:spacing w:before="60" w:after="60"/>
              <w:rPr>
                <w:sz w:val="24"/>
              </w:rPr>
            </w:pPr>
            <w:bookmarkStart w:id="0" w:name="to"/>
            <w:bookmarkEnd w:id="0"/>
            <w:r>
              <w:rPr>
                <w:sz w:val="24"/>
              </w:rPr>
              <w:t>Distribution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spacing w:before="60" w:after="60"/>
              <w:ind w:start="-180" w:end="0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633" w:type="dxa"/>
            <w:tcBorders/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>
          <w:trHeight w:val="300" w:hRule="exact"/>
        </w:trPr>
        <w:tc>
          <w:tcPr>
            <w:tcW w:w="1170" w:type="dxa"/>
            <w:tcBorders/>
          </w:tcPr>
          <w:p>
            <w:pPr>
              <w:pStyle w:val="Normal"/>
              <w:spacing w:before="60" w:after="60"/>
              <w:ind w:firstLine="28" w:start="134" w:end="0"/>
              <w:rPr/>
            </w:pPr>
            <w:r>
              <w:rPr/>
              <w:t>From:</w:t>
            </w:r>
          </w:p>
        </w:tc>
        <w:tc>
          <w:tcPr>
            <w:tcW w:w="4230" w:type="dxa"/>
            <w:tcBorders/>
          </w:tcPr>
          <w:p>
            <w:pPr>
              <w:pStyle w:val="From"/>
              <w:spacing w:before="0" w:after="60"/>
              <w:rPr>
                <w:position w:val="-4"/>
                <w:sz w:val="22"/>
              </w:rPr>
            </w:pPr>
            <w:r>
              <w:rPr>
                <w:position w:val="-4"/>
                <w:sz w:val="22"/>
              </w:rPr>
              <w:t xml:space="preserve">Shelley Corman, Frazier King, </w:t>
            </w:r>
          </w:p>
          <w:p>
            <w:pPr>
              <w:pStyle w:val="From"/>
              <w:spacing w:before="0" w:after="60"/>
              <w:rPr>
                <w:position w:val="-4"/>
                <w:sz w:val="22"/>
              </w:rPr>
            </w:pPr>
            <w:r>
              <w:rPr>
                <w:position w:val="-4"/>
                <w:sz w:val="22"/>
              </w:rPr>
              <w:t>Dari Dornan and Maria Pavlou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spacing w:before="60" w:after="60"/>
              <w:ind w:start="-180" w:end="0"/>
              <w:jc w:val="end"/>
              <w:rPr>
                <w:position w:val="-4"/>
                <w:sz w:val="22"/>
              </w:rPr>
            </w:pPr>
            <w:r>
              <w:rPr>
                <w:position w:val="-4"/>
                <w:sz w:val="22"/>
              </w:rPr>
            </w:r>
          </w:p>
        </w:tc>
        <w:tc>
          <w:tcPr>
            <w:tcW w:w="2633" w:type="dxa"/>
            <w:tcBorders/>
          </w:tcPr>
          <w:p>
            <w:pPr>
              <w:pStyle w:val="Department"/>
              <w:rPr>
                <w:rFonts w:ascii="Times New Roman" w:hAnsi="Times New Roman" w:cs="Times New Roman"/>
                <w:sz w:val="24"/>
              </w:rPr>
            </w:pPr>
            <w:bookmarkStart w:id="1" w:name="From"/>
            <w:bookmarkEnd w:id="1"/>
            <w:r>
              <w:rPr>
                <w:rFonts w:cs="Times New Roman" w:ascii="Times New Roman" w:hAnsi="Times New Roman"/>
                <w:sz w:val="24"/>
              </w:rPr>
              <w:t>GPG - Legal</w:t>
            </w:r>
          </w:p>
        </w:tc>
      </w:tr>
      <w:tr>
        <w:trPr>
          <w:trHeight w:val="216" w:hRule="exact"/>
        </w:trPr>
        <w:tc>
          <w:tcPr>
            <w:tcW w:w="1170" w:type="dxa"/>
            <w:tcBorders/>
          </w:tcPr>
          <w:p>
            <w:pPr>
              <w:pStyle w:val="Normal"/>
              <w:snapToGrid w:val="false"/>
              <w:spacing w:before="60" w:after="60"/>
              <w:ind w:start="-180" w:end="0"/>
              <w:jc w:val="end"/>
              <w:rPr>
                <w:rFonts w:ascii="Times New Roman" w:hAnsi="Times New Roman" w:cs="Times New Roman"/>
                <w:sz w:val="24"/>
              </w:rPr>
            </w:pPr>
            <w:r>
              <w:rPr>
                <w:rFonts w:cs="Times New Roman"/>
                <w:sz w:val="24"/>
              </w:rPr>
            </w:r>
          </w:p>
        </w:tc>
        <w:tc>
          <w:tcPr>
            <w:tcW w:w="4230" w:type="dxa"/>
            <w:tcBorders/>
          </w:tcPr>
          <w:p>
            <w:pPr>
              <w:pStyle w:val="Footer"/>
              <w:tabs>
                <w:tab w:val="clear" w:pos="4320"/>
                <w:tab w:val="clear" w:pos="8640"/>
              </w:tabs>
              <w:spacing w:before="0" w:after="60"/>
              <w:rPr>
                <w:sz w:val="22"/>
              </w:rPr>
            </w:pPr>
            <w:r>
              <w:rPr>
                <w:sz w:val="22"/>
              </w:rPr>
              <w:t>Dari Dornan and Susan Scott</w:t>
            </w:r>
          </w:p>
        </w:tc>
        <w:tc>
          <w:tcPr>
            <w:tcW w:w="1418" w:type="dxa"/>
            <w:tcBorders/>
          </w:tcPr>
          <w:p>
            <w:pPr>
              <w:pStyle w:val="Normal"/>
              <w:snapToGrid w:val="false"/>
              <w:spacing w:before="60" w:after="60"/>
              <w:ind w:start="-18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33" w:type="dxa"/>
            <w:tcBorders/>
          </w:tcPr>
          <w:p>
            <w:pPr>
              <w:pStyle w:val="Normal"/>
              <w:snapToGrid w:val="false"/>
              <w:spacing w:before="60" w:after="60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bottom w:val="single" w:sz="18" w:space="0" w:color="000000"/>
            </w:tcBorders>
          </w:tcPr>
          <w:p>
            <w:pPr>
              <w:pStyle w:val="Normal"/>
              <w:spacing w:before="60" w:after="60"/>
              <w:ind w:start="-180" w:end="0"/>
              <w:jc w:val="center"/>
              <w:rPr/>
            </w:pPr>
            <w:r>
              <w:rPr/>
              <w:t>Subject:</w:t>
            </w:r>
          </w:p>
        </w:tc>
        <w:tc>
          <w:tcPr>
            <w:tcW w:w="4230" w:type="dxa"/>
            <w:tcBorders>
              <w:bottom w:val="single" w:sz="18" w:space="0" w:color="000000"/>
            </w:tcBorders>
          </w:tcPr>
          <w:p>
            <w:pPr>
              <w:pStyle w:val="Normal"/>
              <w:spacing w:before="60" w:after="60"/>
              <w:rPr>
                <w:sz w:val="22"/>
              </w:rPr>
            </w:pPr>
            <w:bookmarkStart w:id="2" w:name="Subject"/>
            <w:bookmarkEnd w:id="2"/>
            <w:r>
              <w:rPr>
                <w:sz w:val="22"/>
              </w:rPr>
              <w:t>Compliance with Standard L (Order No. 599)</w:t>
            </w: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>
            <w:pPr>
              <w:pStyle w:val="Normal"/>
              <w:spacing w:before="60" w:after="60"/>
              <w:ind w:start="-180" w:end="0"/>
              <w:jc w:val="end"/>
              <w:rPr/>
            </w:pPr>
            <w:r>
              <w:rPr/>
              <w:t xml:space="preserve">   </w:t>
            </w:r>
            <w:r>
              <w:rPr/>
              <w:t>Date:</w:t>
            </w:r>
          </w:p>
        </w:tc>
        <w:tc>
          <w:tcPr>
            <w:tcW w:w="2633" w:type="dxa"/>
            <w:tcBorders>
              <w:bottom w:val="single" w:sz="18" w:space="0" w:color="000000"/>
            </w:tcBorders>
          </w:tcPr>
          <w:p>
            <w:pPr>
              <w:pStyle w:val="Date"/>
              <w:spacing w:before="60" w:after="60"/>
              <w:rPr>
                <w:sz w:val="24"/>
              </w:rPr>
            </w:pPr>
            <w:r>
              <w:rPr>
                <w:sz w:val="24"/>
              </w:rPr>
              <w:t>July 13, 2000</w:t>
            </w:r>
          </w:p>
        </w:tc>
      </w:tr>
    </w:tbl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Attached is the Twentieth Revised List of Potential Marketing Affiliates for the Enron Corp pipelines.  This list has been revised to reflect the addition of DJ Oil &amp; Gas LLC as a new Potential Marketing Affiliate.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sectPr>
          <w:headerReference w:type="default" r:id="rId3"/>
          <w:headerReference w:type="first" r:id="rId4"/>
          <w:footerReference w:type="default" r:id="rId5"/>
          <w:footerReference w:type="first" r:id="rId6"/>
          <w:type w:val="nextPage"/>
          <w:pgSz w:w="12240" w:h="15840"/>
          <w:pgMar w:left="1267" w:right="1267" w:gutter="0" w:header="0" w:top="720" w:footer="432" w:bottom="488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"/>
        <w:jc w:val="both"/>
        <w:rPr/>
      </w:pPr>
      <w:r>
        <w:rPr>
          <w:b w:val="false"/>
          <w:sz w:val="20"/>
          <w:u w:val="single"/>
        </w:rPr>
        <w:t>Distribution</w:t>
      </w:r>
      <w:r>
        <w:rPr>
          <w:b w:val="false"/>
          <w:sz w:val="20"/>
        </w:rPr>
        <w:t>:</w:t>
      </w:r>
    </w:p>
    <w:p>
      <w:pPr>
        <w:pStyle w:val="Heading"/>
        <w:spacing w:before="240" w:after="0"/>
        <w:jc w:val="both"/>
        <w:rPr>
          <w:b w:val="false"/>
          <w:sz w:val="22"/>
        </w:rPr>
      </w:pPr>
      <w:r>
        <w:rPr>
          <w:b w:val="false"/>
          <w:sz w:val="22"/>
        </w:rPr>
        <w:t xml:space="preserve">Florida Gas Transmission Company </w:t>
      </w:r>
    </w:p>
    <w:p>
      <w:pPr>
        <w:pStyle w:val="Heading"/>
        <w:ind w:hanging="72" w:start="432" w:end="0"/>
        <w:rPr>
          <w:b w:val="false"/>
          <w:sz w:val="22"/>
        </w:rPr>
      </w:pPr>
      <w:r>
        <w:rPr>
          <w:b w:val="false"/>
          <w:sz w:val="22"/>
        </w:rPr>
        <w:t>Primary Contact:</w:t>
        <w:tab/>
        <w:t>Kim Perez</w:t>
      </w:r>
    </w:p>
    <w:p>
      <w:pPr>
        <w:pStyle w:val="Heading"/>
        <w:ind w:hanging="72" w:start="432" w:end="0"/>
        <w:jc w:val="both"/>
        <w:rPr>
          <w:b w:val="false"/>
          <w:sz w:val="22"/>
        </w:rPr>
      </w:pPr>
      <w:r>
        <w:rPr>
          <w:b w:val="false"/>
          <w:sz w:val="22"/>
        </w:rPr>
        <w:t>Backup Contact:</w:t>
        <w:tab/>
        <w:t>Nancy Bastida</w:t>
      </w:r>
    </w:p>
    <w:p>
      <w:pPr>
        <w:pStyle w:val="Heading"/>
        <w:ind w:firstLine="432" w:start="1728" w:end="0"/>
        <w:jc w:val="both"/>
        <w:rPr>
          <w:b w:val="false"/>
          <w:sz w:val="22"/>
        </w:rPr>
      </w:pPr>
      <w:r>
        <w:rPr>
          <w:b w:val="false"/>
          <w:sz w:val="22"/>
        </w:rPr>
        <w:t>Georgi Landau</w:t>
      </w:r>
    </w:p>
    <w:p>
      <w:pPr>
        <w:pStyle w:val="Heading"/>
        <w:ind w:hanging="936" w:start="1296" w:end="0"/>
        <w:jc w:val="both"/>
        <w:rPr>
          <w:b w:val="false"/>
          <w:sz w:val="22"/>
        </w:rPr>
      </w:pPr>
      <w:r>
        <w:rPr>
          <w:b w:val="false"/>
          <w:sz w:val="22"/>
        </w:rPr>
        <w:t>Legal Contact:</w:t>
        <w:tab/>
        <w:tab/>
        <w:t>Frazier King</w:t>
      </w:r>
    </w:p>
    <w:p>
      <w:pPr>
        <w:pStyle w:val="Heading"/>
        <w:spacing w:before="240" w:after="0"/>
        <w:jc w:val="both"/>
        <w:rPr>
          <w:b w:val="false"/>
          <w:sz w:val="22"/>
        </w:rPr>
      </w:pPr>
      <w:r>
        <w:rPr>
          <w:b w:val="false"/>
          <w:sz w:val="22"/>
        </w:rPr>
        <w:t>Transwestern Pipeline Company</w:t>
      </w:r>
    </w:p>
    <w:p>
      <w:pPr>
        <w:pStyle w:val="Heading"/>
        <w:ind w:firstLine="360" w:end="0"/>
        <w:jc w:val="both"/>
        <w:rPr>
          <w:b w:val="false"/>
          <w:sz w:val="22"/>
        </w:rPr>
      </w:pPr>
      <w:r>
        <w:rPr>
          <w:b w:val="false"/>
          <w:sz w:val="22"/>
        </w:rPr>
        <w:t>Primary Contact:</w:t>
        <w:tab/>
        <w:t>Dennis Lee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  <w:t>Backup Contact:</w:t>
        <w:tab/>
        <w:t>Pat Steele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  <w:t>Legal Contact:</w:t>
        <w:tab/>
        <w:tab/>
        <w:t>Susan Scott</w:t>
      </w:r>
    </w:p>
    <w:p>
      <w:pPr>
        <w:pStyle w:val="Heading"/>
        <w:spacing w:before="240" w:after="0"/>
        <w:jc w:val="both"/>
        <w:rPr>
          <w:b w:val="false"/>
          <w:sz w:val="22"/>
        </w:rPr>
      </w:pPr>
      <w:r>
        <w:rPr>
          <w:b w:val="false"/>
          <w:sz w:val="22"/>
        </w:rPr>
        <w:t>Northern Natural Gas Company</w:t>
      </w:r>
    </w:p>
    <w:p>
      <w:pPr>
        <w:pStyle w:val="Heading"/>
        <w:ind w:firstLine="360" w:end="0"/>
        <w:jc w:val="both"/>
        <w:rPr>
          <w:b w:val="false"/>
          <w:sz w:val="22"/>
        </w:rPr>
      </w:pPr>
      <w:r>
        <w:rPr>
          <w:b w:val="false"/>
          <w:sz w:val="22"/>
        </w:rPr>
        <w:t>Primary Contact:</w:t>
        <w:tab/>
        <w:t>Dennis Lee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  <w:t>Backup Contact:</w:t>
        <w:tab/>
        <w:t>Pat Steele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  <w:t>Legal Contact</w:t>
        <w:tab/>
        <w:t>:</w:t>
        <w:tab/>
        <w:t>Dari Dornan</w:t>
      </w:r>
    </w:p>
    <w:p>
      <w:pPr>
        <w:pStyle w:val="Heading"/>
        <w:ind w:firstLine="216" w:start="144" w:end="0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br w:type="column"/>
      </w: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>cc:</w:t>
        <w:tab/>
        <w:t>Geneva Holland Hiroms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Bob Hall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Julia White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  <w:t>Sheila Nacey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  <w:t>Toby Kuehl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  <w:t>Drew Fossum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  <w:t>Dorothy McCoppin</w:t>
      </w:r>
    </w:p>
    <w:p>
      <w:pPr>
        <w:pStyle w:val="Heading"/>
        <w:ind w:firstLine="432" w:end="0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rPr/>
      </w:pPr>
      <w:r>
        <w:rPr>
          <w:b w:val="false"/>
          <w:sz w:val="22"/>
          <w:u w:val="single"/>
        </w:rPr>
        <w:t>Informational cc</w:t>
      </w:r>
      <w:r>
        <w:rPr>
          <w:b w:val="false"/>
          <w:sz w:val="22"/>
        </w:rPr>
        <w:t>:</w:t>
      </w:r>
    </w:p>
    <w:p>
      <w:pPr>
        <w:pStyle w:val="Heading"/>
        <w:ind w:firstLine="432" w:end="0"/>
        <w:rPr>
          <w:b w:val="false"/>
          <w:sz w:val="22"/>
        </w:rPr>
      </w:pPr>
      <w:r>
        <w:rPr>
          <w:b w:val="false"/>
          <w:sz w:val="22"/>
        </w:rPr>
        <w:t>Janet Place</w:t>
      </w:r>
    </w:p>
    <w:p>
      <w:pPr>
        <w:pStyle w:val="Heading"/>
        <w:ind w:firstLine="432" w:end="0"/>
        <w:rPr>
          <w:b w:val="false"/>
          <w:sz w:val="22"/>
        </w:rPr>
      </w:pPr>
      <w:r>
        <w:rPr>
          <w:b w:val="false"/>
          <w:sz w:val="22"/>
        </w:rPr>
        <w:t>Bambi Heckerman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Heading"/>
        <w:jc w:val="both"/>
        <w:rPr>
          <w:b w:val="false"/>
          <w:sz w:val="22"/>
          <w:u w:val="single"/>
        </w:rPr>
      </w:pPr>
      <w:r>
        <w:rPr>
          <w:b w:val="false"/>
          <w:sz w:val="22"/>
          <w:u w:val="single"/>
        </w:rPr>
        <w:t>External cc: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>cc:</w:t>
        <w:tab/>
        <w:t xml:space="preserve">John C. Griffin, 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Southern Natural Gas Company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  <w:tab/>
        <w:t>(For Citrus Corp affiliates only.)</w:t>
      </w:r>
    </w:p>
    <w:p>
      <w:pPr>
        <w:pStyle w:val="Heading"/>
        <w:jc w:val="both"/>
        <w:rPr>
          <w:b w:val="false"/>
          <w:sz w:val="22"/>
        </w:rPr>
      </w:pPr>
      <w:r>
        <w:rPr>
          <w:b w:val="false"/>
          <w:sz w:val="22"/>
        </w:rPr>
      </w:r>
    </w:p>
    <w:sectPr>
      <w:type w:val="continuous"/>
      <w:pgSz w:w="12240" w:h="15840"/>
      <w:pgMar w:left="1267" w:right="1267" w:gutter="0" w:header="0" w:top="720" w:footer="432" w:bottom="488"/>
      <w:cols w:num="2" w:equalWidth="false" w:sep="false">
        <w:col w:w="4032" w:space="316"/>
        <w:col w:w="5357"/>
      </w:cols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1)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900" w:leader="none"/>
        <w:tab w:val="left" w:pos="3420" w:leader="none"/>
        <w:tab w:val="left" w:pos="5760" w:leader="none"/>
        <w:tab w:val="left" w:pos="8640" w:leader="none"/>
      </w:tabs>
      <w:spacing w:before="60" w:after="60"/>
      <w:rPr>
        <w:rFonts w:ascii="Arial" w:hAnsi="Arial" w:cs="Arial"/>
        <w:sz w:val="16"/>
      </w:rPr>
    </w:pPr>
    <w:r>
      <w:rPr>
        <w:rFonts w:cs="Arial" w:ascii="Arial" w:hAnsi="Arial"/>
        <w:b/>
        <w:sz w:val="16"/>
      </w:rPr>
      <w:tab/>
      <w:t>Respect</w:t>
      <w:tab/>
      <w:t>Integrity</w:t>
      <w:tab/>
      <w:t>Communication</w:t>
      <w:tab/>
      <w:t>Excellence</w:t>
    </w:r>
  </w:p>
  <w:p>
    <w:pPr>
      <w:pStyle w:val="Footer"/>
      <w:tabs>
        <w:tab w:val="clear" w:pos="4320"/>
        <w:tab w:val="clear" w:pos="8640"/>
        <w:tab w:val="center" w:pos="4860" w:leader="none"/>
      </w:tabs>
      <w:spacing w:before="0" w:after="60"/>
      <w:jc w:val="center"/>
      <w:rPr>
        <w:rFonts w:ascii="Arial" w:hAnsi="Arial" w:cs="Arial"/>
        <w:b/>
        <w:sz w:val="12"/>
      </w:rPr>
    </w:pPr>
    <w:r>
      <w:rPr>
        <w:rFonts w:cs="Arial" w:ascii="Arial" w:hAnsi="Arial"/>
        <w:b/>
        <w:sz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90" w:end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00"/>
        <w:tab w:val="center" w:pos="4320" w:leader="none"/>
        <w:tab w:val="left" w:pos="6570" w:leader="none"/>
        <w:tab w:val="right" w:pos="8550" w:leader="none"/>
        <w:tab w:val="right" w:pos="10512" w:leader="none"/>
      </w:tabs>
      <w:spacing w:before="0" w:after="720"/>
      <w:rPr>
        <w:sz w:val="12"/>
      </w:rPr>
    </w:pPr>
    <w:r>
      <w:rPr>
        <w:sz w:val="1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32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80" w:after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spacing w:before="120" w:after="0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outlineLvl w:val="2"/>
    </w:pPr>
    <w:rPr>
      <w:sz w:val="2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paragraph" w:styleId="Heading">
    <w:name w:val="Heading"/>
    <w:basedOn w:val="Heading1"/>
    <w:next w:val="BodyText"/>
    <w:qFormat/>
    <w:pPr>
      <w:numPr>
        <w:ilvl w:val="0"/>
        <w:numId w:val="0"/>
      </w:numPr>
      <w:spacing w:before="0" w:after="0"/>
      <w:outlineLvl w:val="9"/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360" w:start="72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432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32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432"/>
        <w:tab w:val="center" w:pos="4320" w:leader="none"/>
        <w:tab w:val="right" w:pos="9000" w:leader="none"/>
        <w:tab w:val="right" w:pos="10512" w:leader="none"/>
      </w:tabs>
      <w:spacing w:before="0" w:after="0"/>
    </w:pPr>
    <w:rPr/>
  </w:style>
  <w:style w:type="paragraph" w:styleId="FootnoteText">
    <w:name w:val="footnote text"/>
    <w:basedOn w:val="Normal"/>
    <w:pPr>
      <w:ind w:hanging="360" w:start="360" w:end="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SubList">
    <w:name w:val="SubList"/>
    <w:basedOn w:val="List"/>
    <w:qFormat/>
    <w:pPr>
      <w:ind w:hanging="360" w:start="1440" w:end="0"/>
    </w:pPr>
    <w:rPr/>
  </w:style>
  <w:style w:type="paragraph" w:styleId="Subject">
    <w:name w:val="Subject"/>
    <w:basedOn w:val="Normal"/>
    <w:qFormat/>
    <w:pPr/>
    <w:rPr/>
  </w:style>
  <w:style w:type="paragraph" w:styleId="Date">
    <w:name w:val="Date"/>
    <w:basedOn w:val="Normal"/>
    <w:qFormat/>
    <w:pPr/>
    <w:rPr/>
  </w:style>
  <w:style w:type="paragraph" w:styleId="To">
    <w:name w:val="To"/>
    <w:basedOn w:val="Normal"/>
    <w:qFormat/>
    <w:pPr/>
    <w:rPr/>
  </w:style>
  <w:style w:type="paragraph" w:styleId="From">
    <w:name w:val="From"/>
    <w:basedOn w:val="Normal"/>
    <w:qFormat/>
    <w:pPr/>
    <w:rPr/>
  </w:style>
  <w:style w:type="paragraph" w:styleId="Closed">
    <w:name w:val="Closed"/>
    <w:basedOn w:val="Normal"/>
    <w:qFormat/>
    <w:pPr>
      <w:spacing w:before="0" w:after="0"/>
    </w:pPr>
    <w:rPr/>
  </w:style>
  <w:style w:type="paragraph" w:styleId="CopyList">
    <w:name w:val="CopyList"/>
    <w:basedOn w:val="Normal"/>
    <w:qFormat/>
    <w:pPr>
      <w:tabs>
        <w:tab w:val="clear" w:pos="432"/>
        <w:tab w:val="left" w:pos="504" w:leader="none"/>
      </w:tabs>
      <w:spacing w:before="360" w:after="0"/>
      <w:ind w:hanging="504" w:start="504" w:end="0"/>
    </w:pPr>
    <w:rPr/>
  </w:style>
  <w:style w:type="paragraph" w:styleId="Department">
    <w:name w:val="Department"/>
    <w:basedOn w:val="Normal"/>
    <w:qFormat/>
    <w:pPr>
      <w:spacing w:before="0" w:after="0"/>
    </w:pPr>
    <w:rPr>
      <w:rFonts w:ascii="Arial" w:hAnsi="Arial" w:cs="Ari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2000-07-13T19:00:00Z</dcterms:created>
  <dc:creator>jcones</dc:creator>
  <dc:description/>
  <dc:language>en-CA</dc:language>
  <cp:lastModifiedBy>jcones</cp:lastModifiedBy>
  <cp:lastPrinted>2000-07-13T16:54:00Z</cp:lastPrinted>
  <dcterms:modified xsi:type="dcterms:W3CDTF">2000-07-13T19:24:00Z</dcterms:modified>
  <cp:revision>3</cp:revision>
  <dc:subject/>
  <dc:title> </dc:title>
</cp:coreProperties>
</file>