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 xml:space="preserve">tst </w:t>
      </w:r>
      <w:r>
        <w:rPr/>
        <w:t>day of October, 2001, by and between Enron North America Corp. (formerly know as Enron Capital &amp; Trade Resources Corp.) (“Company”) and Mitchell Gas Services, L.P.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March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/>
        <w:t>ENRON NORTH AMERICA CORP.</w:t>
        <w:tab/>
        <w:t xml:space="preserve">MITCHELL GAS SERVICES L.P. </w:t>
      </w:r>
    </w:p>
    <w:p>
      <w:pPr>
        <w:pStyle w:val="Normal"/>
        <w:ind w:firstLine="720" w:start="5040" w:end="0"/>
        <w:rPr/>
      </w:pPr>
      <w:r>
        <w:rPr/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/mnt/main-storage/datasets/enron-docs/doc/Mitchell_Gas_GISB_Amend-70c83b045af5f9292779fda50a5ab7775c889716e3e4b3b545f93551d6b68a00.doc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2001-10-25T13:41:00Z</dcterms:created>
  <dc:creator>protmp2</dc:creator>
  <dc:description/>
  <dc:language>en-CA</dc:language>
  <cp:lastModifiedBy>aosire</cp:lastModifiedBy>
  <cp:lastPrinted>2001-10-25T09:28:00Z</cp:lastPrinted>
  <dcterms:modified xsi:type="dcterms:W3CDTF">2001-10-25T13:41:00Z</dcterms:modified>
  <cp:revision>2</cp:revision>
  <dc:subject/>
  <dc:title>AGREEMENT TO BASE CONTRACT FOR SHORT-TERM SALE</dc:title>
</cp:coreProperties>
</file>