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Mission and Objectives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7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2828"/>
        <w:gridCol w:w="4264"/>
        <w:gridCol w:w="3150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Risk Management for existing transactions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(keeping the curve from going up)</w:t>
            </w:r>
          </w:p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Key Examples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Support Developing Transactions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Selected Examples</w:t>
            </w:r>
          </w:p>
        </w:tc>
        <w:tc>
          <w:tcPr>
            <w:tcW w:w="4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Opening &amp; Enhancing New Markets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Priority Issues(not in order of priority)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Government Affairs Origination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(moving the curve down)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Key Examples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 xml:space="preserve">EES Book  </w:t>
            </w:r>
            <w:r>
              <w:rPr>
                <w:i/>
                <w:sz w:val="24"/>
              </w:rPr>
              <w:t>e.g.</w:t>
            </w:r>
            <w:r>
              <w:rPr>
                <w:sz w:val="24"/>
              </w:rPr>
              <w:t xml:space="preserve"> – CA. CTC; Gas Commodity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ENA trading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Control areas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East Coast Power and other generation assets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ECI Fiber Build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2000 Peakers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Access to federal facilities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Enerconnect (Canada)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Hedge Fund</w:t>
            </w:r>
          </w:p>
        </w:tc>
        <w:tc>
          <w:tcPr>
            <w:tcW w:w="4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Interstate Transmission (all uses on the same tariff-elimination of native load preference)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Structural solutions:</w:t>
            </w:r>
          </w:p>
          <w:p>
            <w:pPr>
              <w:pStyle w:val="Normal"/>
              <w:numPr>
                <w:ilvl w:val="0"/>
                <w:numId w:val="15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code of conduct</w:t>
            </w:r>
            <w:r>
              <w:rPr>
                <w:i/>
                <w:sz w:val="24"/>
              </w:rPr>
              <w:t>: primary features</w:t>
            </w:r>
            <w:r>
              <w:rPr>
                <w:sz w:val="24"/>
              </w:rPr>
              <w:t>: no information sharing, requires comparability &amp; eliminates cross subsidies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Separation of competitive  &amp; monopoly functions: distribution utility out of merchant function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Elimination of “fuel adjustment clauses”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Asset divestiture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 xml:space="preserve">Full cost unbundling w/energy component market-based, </w:t>
            </w:r>
            <w:r>
              <w:rPr>
                <w:i/>
                <w:sz w:val="24"/>
              </w:rPr>
              <w:t>i.e.</w:t>
            </w:r>
            <w:r>
              <w:rPr>
                <w:sz w:val="24"/>
              </w:rPr>
              <w:t xml:space="preserve"> volatility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Outsourcing of procurement function</w:t>
            </w:r>
          </w:p>
          <w:p>
            <w:pPr>
              <w:pStyle w:val="Normal"/>
              <w:numPr>
                <w:ilvl w:val="0"/>
                <w:numId w:val="13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RTO Rulemaking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Non-Discriminatory Access &amp; Interconnection  Rules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T&amp;D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Distributed Generation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Limit regulation of e-commerce &amp; bandwith trading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Uniform Business Rules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Restructuring legislation – targets?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Stranded costs: full mitigation required &amp; recovery tied to asset divestiture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UI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EES Book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GROUNDRULES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6"/>
        </w:numPr>
        <w:rPr/>
      </w:pPr>
      <w:r>
        <w:rPr/>
        <w:t>Finite resources: many issues – need to be dispassionate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Think globally – Enron – anyone can call foul “Top” three (fewest fouls) – reward – 1day off paid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$ and people are fungible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Pagers off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No cell phones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100% attendance – 100% participation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Success is buy-in on common set of priorities and allocation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0"/>
        </w:numPr>
        <w:rPr>
          <w:sz w:val="24"/>
        </w:rPr>
      </w:pPr>
      <w:r>
        <w:rPr>
          <w:sz w:val="24"/>
        </w:rPr>
        <w:t>What’s not on table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Jobs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Performance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Regions irrelevant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Talk about specific issues, states, transactions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Breaks at :55 - :05 – every hour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Lunch – 12:00pm – 12:30pm</w:t>
      </w:r>
    </w:p>
    <w:sectPr>
      <w:type w:val="nextPage"/>
      <w:pgSz w:orient="landscape" w:w="15840" w:h="12240"/>
      <w:pgMar w:left="1440" w:right="864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pacing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WW8Num1z0">
    <w:name w:val="WW8Num1z0"/>
    <w:qFormat/>
    <w:rPr>
      <w:rFonts w:ascii="Symbol" w:hAnsi="Symbol" w:cs="Symbol"/>
      <w:spacing w:val="20"/>
    </w:rPr>
  </w:style>
  <w:style w:type="character" w:styleId="WW8Num2z0">
    <w:name w:val="WW8Num2z0"/>
    <w:qFormat/>
    <w:rPr>
      <w:rFonts w:ascii="Symbol" w:hAnsi="Symbol" w:cs="Symbol"/>
      <w:spacing w:val="20"/>
    </w:rPr>
  </w:style>
  <w:style w:type="character" w:styleId="WW8Num3z0">
    <w:name w:val="WW8Num3z0"/>
    <w:qFormat/>
    <w:rPr>
      <w:rFonts w:ascii="Symbol" w:hAnsi="Symbol" w:cs="Symbol"/>
      <w:spacing w:val="20"/>
    </w:rPr>
  </w:style>
  <w:style w:type="character" w:styleId="WW8Num4z0">
    <w:name w:val="WW8Num4z0"/>
    <w:qFormat/>
    <w:rPr>
      <w:rFonts w:ascii="Symbol" w:hAnsi="Symbol" w:cs="Symbol"/>
      <w:spacing w:val="20"/>
      <w:effect w:val="blinkBackground"/>
    </w:rPr>
  </w:style>
  <w:style w:type="character" w:styleId="WW8Num5z0">
    <w:name w:val="WW8Num5z0"/>
    <w:qFormat/>
    <w:rPr>
      <w:rFonts w:ascii="Symbol" w:hAnsi="Symbol" w:cs="Symbol"/>
      <w:spacing w:val="2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pacing w:val="20"/>
      <w:effect w:val="blinkBackground"/>
    </w:rPr>
  </w:style>
  <w:style w:type="character" w:styleId="WW8Num8z0">
    <w:name w:val="WW8Num8z0"/>
    <w:qFormat/>
    <w:rPr>
      <w:rFonts w:ascii="Symbol" w:hAnsi="Symbol" w:cs="Symbol"/>
      <w:spacing w:val="2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pacing w:val="20"/>
    </w:rPr>
  </w:style>
  <w:style w:type="character" w:styleId="WW8Num11z0">
    <w:name w:val="WW8Num11z0"/>
    <w:qFormat/>
    <w:rPr>
      <w:rFonts w:ascii="Symbol" w:hAnsi="Symbol" w:cs="Symbol"/>
      <w:spacing w:val="20"/>
    </w:rPr>
  </w:style>
  <w:style w:type="character" w:styleId="WW8Num12z0">
    <w:name w:val="WW8Num12z0"/>
    <w:qFormat/>
    <w:rPr>
      <w:rFonts w:ascii="Symbol" w:hAnsi="Symbol" w:cs="Symbol"/>
      <w:spacing w:val="20"/>
    </w:rPr>
  </w:style>
  <w:style w:type="character" w:styleId="WW8Num13z0">
    <w:name w:val="WW8Num13z0"/>
    <w:qFormat/>
    <w:rPr>
      <w:rFonts w:ascii="Symbol" w:hAnsi="Symbol" w:cs="Symbol"/>
      <w:spacing w:val="20"/>
      <w:effect w:val="blinkBackground"/>
    </w:rPr>
  </w:style>
  <w:style w:type="character" w:styleId="WW8Num14z0">
    <w:name w:val="WW8Num14z0"/>
    <w:qFormat/>
    <w:rPr>
      <w:rFonts w:ascii="Symbol" w:hAnsi="Symbol" w:cs="Symbol"/>
      <w:spacing w:val="20"/>
    </w:rPr>
  </w:style>
  <w:style w:type="character" w:styleId="WW8Num15z0">
    <w:name w:val="WW8Num15z0"/>
    <w:qFormat/>
    <w:rPr>
      <w:rFonts w:ascii="Symbol" w:hAnsi="Symbol" w:cs="Symbol"/>
      <w:spacing w:val="20"/>
    </w:rPr>
  </w:style>
  <w:style w:type="character" w:styleId="WW8Num16z0">
    <w:name w:val="WW8Num16z0"/>
    <w:qFormat/>
    <w:rPr>
      <w:rFonts w:ascii="Symbol" w:hAnsi="Symbol" w:cs="Symbol"/>
      <w:spacing w:val="20"/>
      <w:effect w:val="blinkBackground"/>
    </w:rPr>
  </w:style>
  <w:style w:type="character" w:styleId="WW8Num17z0">
    <w:name w:val="WW8Num17z0"/>
    <w:qFormat/>
    <w:rPr>
      <w:rFonts w:ascii="Symbol" w:hAnsi="Symbol" w:cs="Symbol"/>
      <w:spacing w:val="20"/>
      <w:effect w:val="blinkBackground"/>
    </w:rPr>
  </w:style>
  <w:style w:type="character" w:styleId="WW8Num18z0">
    <w:name w:val="WW8Num18z0"/>
    <w:qFormat/>
    <w:rPr>
      <w:rFonts w:ascii="Symbol" w:hAnsi="Symbol" w:cs="Symbol"/>
      <w:spacing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pacing w:val="20"/>
      <w:effect w:val="blinkBackground"/>
    </w:rPr>
  </w:style>
  <w:style w:type="character" w:styleId="WW8Num26z0">
    <w:name w:val="WW8Num26z0"/>
    <w:qFormat/>
    <w:rPr>
      <w:rFonts w:ascii="Symbol" w:hAnsi="Symbol" w:cs="Symbol"/>
      <w:spacing w:val="20"/>
    </w:rPr>
  </w:style>
  <w:style w:type="character" w:styleId="WW8Num27z0">
    <w:name w:val="WW8Num27z0"/>
    <w:qFormat/>
    <w:rPr>
      <w:rFonts w:ascii="Symbol" w:hAnsi="Symbol" w:cs="Symbol"/>
      <w:spacing w:val="20"/>
      <w:effect w:val="blinkBackground"/>
    </w:rPr>
  </w:style>
  <w:style w:type="character" w:styleId="WW8Num28z0">
    <w:name w:val="WW8Num28z0"/>
    <w:qFormat/>
    <w:rPr>
      <w:rFonts w:ascii="Symbol" w:hAnsi="Symbol" w:cs="Symbol"/>
      <w:spacing w:val="20"/>
    </w:rPr>
  </w:style>
  <w:style w:type="character" w:styleId="WW8Num29z0">
    <w:name w:val="WW8Num29z0"/>
    <w:qFormat/>
    <w:rPr>
      <w:rFonts w:ascii="Symbol" w:hAnsi="Symbol" w:cs="Symbol"/>
      <w:spacing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1999-11-22T13:16:00Z</dcterms:created>
  <dc:creator>gderneh</dc:creator>
  <dc:description/>
  <dc:language>en-CA</dc:language>
  <cp:lastModifiedBy>gderneh</cp:lastModifiedBy>
  <cp:lastPrinted>1999-10-22T14:43:00Z</cp:lastPrinted>
  <dcterms:modified xsi:type="dcterms:W3CDTF">1999-11-22T13:16:00Z</dcterms:modified>
  <cp:revision>2</cp:revision>
  <dc:subject/>
  <dc:title>Risk Mgmt</dc:title>
</cp:coreProperties>
</file>