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000000"/>
          <w:sz w:val="18"/>
          <w:lang w:eastAsia="en-US"/>
        </w:rPr>
      </w:pPr>
      <w:r>
        <w:rPr>
          <w:rFonts w:cs="Arial" w:ascii="Arial" w:hAnsi="Arial"/>
          <w:color w:val="000000"/>
          <w:sz w:val="18"/>
          <w:lang w:eastAsia="en-US"/>
        </w:rPr>
      </w:r>
    </w:p>
    <w:p>
      <w:pPr>
        <w:pStyle w:val="Normal"/>
        <w:rPr>
          <w:rFonts w:ascii="Arial" w:hAnsi="Arial" w:cs="Arial"/>
          <w:color w:val="000000"/>
          <w:sz w:val="18"/>
          <w:lang w:eastAsia="en-US"/>
        </w:rPr>
      </w:pPr>
      <w:r>
        <w:rPr>
          <w:rFonts w:cs="Arial" w:ascii="Arial" w:hAnsi="Arial"/>
          <w:color w:val="000000"/>
          <w:sz w:val="18"/>
          <w:lang w:eastAsia="en-US"/>
        </w:rPr>
      </w:r>
    </w:p>
    <w:p>
      <w:pPr>
        <w:pStyle w:val="Heading1"/>
        <w:tabs>
          <w:tab w:val="clear" w:pos="720"/>
          <w:tab w:val="left" w:pos="1800" w:leader="none"/>
        </w:tabs>
        <w:spacing w:lineRule="auto" w:line="240"/>
        <w:ind w:hanging="0" w:start="2160" w:end="0"/>
        <w:rPr>
          <w:rFonts w:ascii="Arial" w:hAnsi="Arial" w:cs="Arial"/>
          <w:color w:val="000000"/>
          <w:sz w:val="18"/>
          <w:lang w:eastAsia="en-US"/>
        </w:rPr>
      </w:pPr>
      <w:r>
        <w:rPr>
          <w:rFonts w:cs="Arial"/>
          <w:color w:val="000000"/>
          <w:sz w:val="18"/>
          <w:lang w:eastAsia="en-US"/>
        </w:rPr>
      </w:r>
    </w:p>
    <w:p>
      <w:pPr>
        <w:pStyle w:val="Heading1"/>
        <w:tabs>
          <w:tab w:val="clear" w:pos="720"/>
          <w:tab w:val="left" w:pos="1800" w:leader="none"/>
        </w:tabs>
        <w:spacing w:lineRule="auto" w:line="240"/>
        <w:ind w:hanging="0" w:start="2160" w:end="0"/>
        <w:rPr>
          <w:sz w:val="18"/>
        </w:rPr>
      </w:pPr>
      <w:r>
        <w:rPr>
          <w:sz w:val="18"/>
        </w:rPr>
      </w:r>
    </w:p>
    <w:p>
      <w:pPr>
        <w:pStyle w:val="Heading1"/>
        <w:tabs>
          <w:tab w:val="clear" w:pos="720"/>
          <w:tab w:val="left" w:pos="1800" w:leader="none"/>
        </w:tabs>
        <w:spacing w:lineRule="auto" w:line="240"/>
        <w:ind w:hanging="0" w:start="2160" w:end="0"/>
        <w:rPr>
          <w:sz w:val="18"/>
        </w:rPr>
      </w:pPr>
      <w:r>
        <w:rPr>
          <w:sz w:val="18"/>
        </w:rPr>
      </w:r>
    </w:p>
    <w:p>
      <w:pPr>
        <w:pStyle w:val="Heading1"/>
        <w:tabs>
          <w:tab w:val="clear" w:pos="720"/>
          <w:tab w:val="left" w:pos="1800" w:leader="none"/>
        </w:tabs>
        <w:spacing w:lineRule="auto" w:line="240"/>
        <w:ind w:hanging="0" w:start="2160" w:end="0"/>
        <w:rPr>
          <w:sz w:val="18"/>
        </w:rPr>
      </w:pPr>
      <w:r>
        <w:rPr>
          <w:sz w:val="18"/>
        </w:rPr>
      </w:r>
    </w:p>
    <w:p>
      <w:pPr>
        <w:pStyle w:val="Heading1"/>
        <w:tabs>
          <w:tab w:val="clear" w:pos="720"/>
          <w:tab w:val="left" w:pos="1800" w:leader="none"/>
        </w:tabs>
        <w:spacing w:lineRule="auto" w:line="240"/>
        <w:ind w:hanging="0" w:start="2160" w:end="0"/>
        <w:rPr>
          <w:sz w:val="18"/>
        </w:rPr>
      </w:pPr>
      <w:r>
        <w:rPr>
          <w:sz w:val="18"/>
        </w:rPr>
      </w:r>
    </w:p>
    <w:p>
      <w:pPr>
        <w:pStyle w:val="Heading1"/>
        <w:tabs>
          <w:tab w:val="clear" w:pos="720"/>
          <w:tab w:val="left" w:pos="1800" w:leader="none"/>
        </w:tabs>
        <w:spacing w:lineRule="auto" w:line="240"/>
        <w:ind w:hanging="0" w:start="1800" w:end="0"/>
        <w:rPr>
          <w:sz w:val="18"/>
        </w:rPr>
      </w:pPr>
      <w:r>
        <w:rPr>
          <w:sz w:val="18"/>
        </w:rPr>
        <w:t>ENERGY SERVICES COALITION</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The ESC was formed in May of 1999 to pursue energy services liberalization in anticipated negotiations of a broad range of services mandated to begin in the World Trade Organization in 2000.  This mandate is contained in Article XIX of the Uruguay Round of trade negotiations.  Agriculture was also to be negotiated under Article 20.</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A range of services including financial, e-commerce, professional and transportation had been contemplated at the conclusion of the Uruguay Round.  Energy services was largely in its infancy at that time with many energy services as we now know them have been established in the last few years largely because of advances in information technology.</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An Energy Services Coalition was established to add energy services to the anticipated round of WTO trade negotiations with Enron as chair and Halliburton as co-chair.  An executive committee was formed with GE, International Association of Drilling Contractors, Capitol Strategies, Enron and Halliburton. Hills &amp; Company was later retained to be trade counsel.</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BodyTextIndent"/>
        <w:rPr/>
      </w:pPr>
      <w:r>
        <w:rPr/>
        <w:t>The ESC has grown to 48 members which includes companies and associations and has begun an outreach program in several geographical regions of the globe to potentially add companies and associations outside the USA to petition their respective governments to support liberalized energy services in the WTO services negotiation.</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Following the Seattle WTO Ministerial there was some doubt about the start up of negotiations but recent action by the WTO General Council of member nations has indicated that services and agriculture negotiations have begun although much remains to be done on adopting rules and procedures to govern specific negotiations.  The upcoming US Presidential election is another factor that will slow down the actual negotiations although position documents are being prepared for tabling sometime this year.</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Several of our ESC members and our trade counsel were members of the Coalition of Service Industries meeting in Geneva where we exchanged views with the senior WTO leadership, the US WTO Delegation and various WTO Member Country delegations.  It was apparent that energy services liberalization is being proposed by the USTR WTO team and several other WTO member countries including Australia, New Zealand, Canada, Singapore, United Kingdom, Venezuela and more as the negotiations move into a more substantive phase.  However, our ESC has considerable work to do this year.</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 xml:space="preserve">We have commissioned a paper on energy services by Rachel Thompson formerly Trade Director of the OECD and recently a new hire of APCO associates in London.  Her paper will be ready in draft form in the next several days and upon our review it will be used as part of the ESC global educational effort.  Our major effort over the last three months has been to organize four working groups in the ESC to come up with a negotiators definition of what are energy services, what are the impediments that a WTO negotiation should address and specifically what are the win win characteristics of liberalization.  Hills &amp; Company is working with those ESC teams and plans to have a working draft ready for broad review by the early part of March.  After it is reviewed and agreed upon by the ESC plenary, it will be widely distributed and a press program developed to promote it. </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BodyText"/>
        <w:tabs>
          <w:tab w:val="clear" w:pos="720"/>
          <w:tab w:val="left" w:pos="1800" w:leader="none"/>
        </w:tabs>
        <w:spacing w:lineRule="auto" w:line="240"/>
        <w:ind w:start="1800" w:end="0"/>
        <w:rPr>
          <w:sz w:val="18"/>
        </w:rPr>
      </w:pPr>
      <w:r>
        <w:rPr>
          <w:sz w:val="18"/>
        </w:rPr>
        <w:t>Our consultations in Geneva convinced us that we need an outreach educational program following agreement on our basic definition document.  The Coalition of Service Industries is discussing holding a Global Services Congress in Geneva in July which will attract a global audience of people interested in services and will give us a forum to discuss energy services.  CSI has also advised we members that US AID has offered funding to support regional briefings, which the ESC Executive Committee supports and if established, would participate to provide a strong presentation on energy services which serves to recruit others.</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When the WTO General Council met on February 7 they elected Sergio Marchi of Canada as chair of the WTO Services Council.  We view this as a positive development.  In addition to the strategy outlined above, we are considering an arrangement with Rachel Thompson now with APCO and a recognized trade expert to help us in Europe, Australia (she is Australian and was a member of their WTO delegation before going to the OECD) and possibly Bernard Jamet who is now a consultant following his service as energy services director for the European Bank of Reconstruction and Development to work on support in France and eastern bloc countries many of whom will be new WTO members.</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We have entered into conversations with some leading industries groups such as Lafarge in Paris who have cement and building materials operations in Europe, Asia, Latin America and the USA.  Their CEO is Bertrand Collomb who chairs the Transatlantic Business Dialogue and has strong policy and political ties on several continents.  We are also working with the Business Industry Advisory Committee (BIAC) of the OECD, an international agency that supports competition.</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Therefore in the next several months our strategy is to develop and market a range of energy services education activities including the Rachel Thompson paper, the ESC Definition and Strategy Document, participation and in some cases establishing our own programs of outreach through conferences outlined above and our continuing effort to recruit leading global companies headquartered in various countries that are WTO members.</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 xml:space="preserve">The ESC has a dedicated, active and effective Executive Committee and a skilled trade counsel in Hills &amp; Company. We have a strategy that is set but flexible to deal with rising opportunities. We do have a diverse coalition and the task of developing our definitions and strategy paper will take diplomacy and leadership. </w:t>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r>
    </w:p>
    <w:p>
      <w:pPr>
        <w:pStyle w:val="Normal"/>
        <w:tabs>
          <w:tab w:val="clear" w:pos="720"/>
          <w:tab w:val="left" w:pos="1800" w:leader="none"/>
        </w:tabs>
        <w:ind w:start="1800" w:end="0"/>
        <w:rPr>
          <w:rFonts w:ascii="Arial" w:hAnsi="Arial" w:cs="Arial"/>
          <w:color w:val="000000"/>
          <w:sz w:val="18"/>
          <w:lang w:eastAsia="en-US"/>
        </w:rPr>
      </w:pPr>
      <w:r>
        <w:rPr>
          <w:rFonts w:cs="Arial" w:ascii="Arial" w:hAnsi="Arial"/>
          <w:color w:val="000000"/>
          <w:sz w:val="18"/>
          <w:lang w:eastAsia="en-US"/>
        </w:rPr>
        <w:t>WTO has inaugurated the services negotiation and energy services has a position.  While the exact duration of negotiations leading to a new global position is unknown, the earliest negotiations are expected to conclude is in three years.  However, as there is more education on what energy services are and the benefits they bring to developing and developed nations (win-win) we believe countries will seek to accelerate their acceptance and introduction of these opportunities as well as constant creation of new energy services which means that the document we produce and the strategy we follow must be flexible since a full trade round will establish a framework for a decade or more.</w:t>
      </w:r>
    </w:p>
    <w:p>
      <w:pPr>
        <w:pStyle w:val="Normal"/>
        <w:ind w:start="1800" w:end="0"/>
        <w:rPr>
          <w:rFonts w:ascii="Arial" w:hAnsi="Arial" w:cs="Arial"/>
          <w:color w:val="000000"/>
          <w:sz w:val="18"/>
          <w:lang w:eastAsia="en-US"/>
        </w:rPr>
      </w:pPr>
      <w:r>
        <w:rPr>
          <w:rFonts w:cs="Arial" w:ascii="Arial" w:hAnsi="Arial"/>
          <w:color w:val="000000"/>
          <w:sz w:val="18"/>
          <w:lang w:eastAsia="en-US"/>
        </w:rPr>
      </w:r>
    </w:p>
    <w:p>
      <w:pPr>
        <w:pStyle w:val="Normal"/>
        <w:ind w:start="1800" w:end="0"/>
        <w:rPr>
          <w:rFonts w:ascii="Arial" w:hAnsi="Arial" w:cs="Arial"/>
          <w:color w:val="000000"/>
          <w:sz w:val="18"/>
          <w:lang w:eastAsia="en-US"/>
        </w:rPr>
      </w:pPr>
      <w:r>
        <w:rPr>
          <w:rFonts w:cs="Arial" w:ascii="Arial" w:hAnsi="Arial"/>
          <w:color w:val="000000"/>
          <w:sz w:val="18"/>
          <w:lang w:eastAsia="en-US"/>
        </w:rPr>
      </w:r>
    </w:p>
    <w:p>
      <w:pPr>
        <w:pStyle w:val="Normal"/>
        <w:ind w:start="1800" w:end="0"/>
        <w:rPr>
          <w:rFonts w:ascii="Arial" w:hAnsi="Arial" w:cs="Arial"/>
          <w:color w:val="000000"/>
          <w:sz w:val="18"/>
          <w:lang w:eastAsia="en-US"/>
        </w:rPr>
      </w:pPr>
      <w:r>
        <w:rPr>
          <w:rFonts w:cs="Arial" w:ascii="Arial" w:hAnsi="Arial"/>
          <w:color w:val="000000"/>
          <w:sz w:val="18"/>
          <w:lang w:eastAsia="en-US"/>
        </w:rPr>
      </w:r>
    </w:p>
    <w:p>
      <w:pPr>
        <w:pStyle w:val="Normal"/>
        <w:ind w:start="1800" w:end="0"/>
        <w:rPr>
          <w:rFonts w:ascii="Arial" w:hAnsi="Arial" w:cs="Arial"/>
          <w:color w:val="000000"/>
          <w:sz w:val="18"/>
          <w:lang w:eastAsia="en-US"/>
        </w:rPr>
      </w:pPr>
      <w:r>
        <w:rPr>
          <w:rFonts w:cs="Arial" w:ascii="Arial" w:hAnsi="Arial"/>
          <w:color w:val="000000"/>
          <w:sz w:val="18"/>
          <w:lang w:eastAsia="en-US"/>
        </w:rPr>
      </w:r>
    </w:p>
    <w:p>
      <w:pPr>
        <w:pStyle w:val="Normal"/>
        <w:ind w:start="1800" w:end="0"/>
        <w:rPr>
          <w:rFonts w:ascii="Arial" w:hAnsi="Arial" w:cs="Arial"/>
          <w:color w:val="000000"/>
          <w:sz w:val="18"/>
          <w:lang w:eastAsia="en-US"/>
        </w:rPr>
      </w:pPr>
      <w:r>
        <w:rPr>
          <w:rFonts w:cs="Arial" w:ascii="Arial" w:hAnsi="Arial"/>
          <w:color w:val="000000"/>
          <w:sz w:val="18"/>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ind w:start="1800" w:end="0"/>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8"/>
          <w:lang w:eastAsia="en-US"/>
        </w:rPr>
      </w:pPr>
      <w:r>
        <w:rPr>
          <w:rFonts w:cs="Arial" w:ascii="Arial" w:hAnsi="Arial"/>
          <w:color w:val="000000"/>
          <w:sz w:val="18"/>
          <w:lang w:eastAsia="en-US"/>
        </w:rPr>
        <w:t>“</w:t>
      </w:r>
      <w:r>
        <w:rPr>
          <w:rFonts w:cs="Arial" w:ascii="Arial" w:hAnsi="Arial"/>
          <w:color w:val="000000"/>
          <w:sz w:val="18"/>
          <w:lang w:eastAsia="en-US"/>
        </w:rPr>
        <w:t>ESC Mission Statement”</w:t>
      </w:r>
    </w:p>
    <w:p>
      <w:pPr>
        <w:pStyle w:val="Normal"/>
        <w:rPr/>
      </w:pPr>
      <w:r>
        <w:rPr>
          <w:rFonts w:cs="Arial" w:ascii="Arial" w:hAnsi="Arial"/>
          <w:color w:val="000000"/>
          <w:sz w:val="18"/>
          <w:lang w:eastAsia="en-US"/>
        </w:rPr>
        <w:t xml:space="preserve">Revised:  </w:t>
      </w:r>
      <w:r>
        <w:rPr>
          <w:rFonts w:cs="Arial" w:ascii="Arial" w:hAnsi="Arial"/>
          <w:color w:val="000000"/>
          <w:sz w:val="18"/>
          <w:lang w:eastAsia="en-US"/>
        </w:rPr>
        <w:fldChar w:fldCharType="begin"/>
      </w:r>
      <w:r>
        <w:rPr>
          <w:sz w:val="18"/>
          <w:rFonts w:cs="Arial" w:ascii="Arial" w:hAnsi="Arial"/>
          <w:color w:val="000000"/>
          <w:lang w:eastAsia="en-US"/>
        </w:rPr>
        <w:instrText xml:space="preserve"> DATE \@"M\/d\/yy\ H:mm\ AM/PM" </w:instrText>
      </w:r>
      <w:r>
        <w:rPr>
          <w:sz w:val="18"/>
          <w:rFonts w:cs="Arial" w:ascii="Arial" w:hAnsi="Arial"/>
          <w:color w:val="000000"/>
          <w:lang w:eastAsia="en-US"/>
        </w:rPr>
        <w:fldChar w:fldCharType="separate"/>
      </w:r>
      <w:r>
        <w:rPr>
          <w:sz w:val="18"/>
          <w:rFonts w:cs="Arial" w:ascii="Arial" w:hAnsi="Arial"/>
          <w:color w:val="000000"/>
          <w:lang w:eastAsia="en-US"/>
        </w:rPr>
        <w:t>9/28/25 8:57 AM</w:t>
      </w:r>
      <w:r>
        <w:rPr>
          <w:sz w:val="18"/>
          <w:rFonts w:cs="Arial" w:ascii="Arial" w:hAnsi="Arial"/>
          <w:color w:val="000000"/>
          <w:lang w:eastAsia="en-US"/>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rFonts w:ascii="Arial" w:hAnsi="Arial" w:cs="Arial"/>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800" w:leader="none"/>
      </w:tabs>
      <w:ind w:hanging="0" w:start="1800" w:end="0"/>
    </w:pPr>
    <w:rPr>
      <w:rFonts w:ascii="Arial" w:hAnsi="Arial" w:cs="Arial"/>
      <w:color w:val="000000"/>
      <w:sz w:val="1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2000-02-10T13:09:00Z</dcterms:created>
  <dc:creator>Lora A. Sulliva</dc:creator>
  <dc:description/>
  <dc:language>en-CA</dc:language>
  <cp:lastModifiedBy>Lora A. Sulliva</cp:lastModifiedBy>
  <cp:lastPrinted>2000-02-14T12:14:00Z</cp:lastPrinted>
  <dcterms:modified xsi:type="dcterms:W3CDTF">2000-02-14T14:49:00Z</dcterms:modified>
  <cp:revision>8</cp:revision>
  <dc:subject/>
  <dc:title>Revised:  2/10/00 10:41 AM</dc:title>
</cp:coreProperties>
</file>