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r>
    </w:p>
    <w:p>
      <w:pPr>
        <w:pStyle w:val="Normal"/>
        <w:jc w:val="center"/>
        <w:rPr>
          <w:b/>
        </w:rPr>
      </w:pPr>
      <w:r>
        <w:rPr>
          <w:b/>
          <w:u w:val="single"/>
        </w:rPr>
        <w:t>FIRST AMENDMENT TO ISDA MASTER AGREEMENT</w:t>
      </w:r>
    </w:p>
    <w:p>
      <w:pPr>
        <w:pStyle w:val="Normal"/>
        <w:rPr>
          <w:b/>
        </w:rPr>
      </w:pPr>
      <w:r>
        <w:rPr>
          <w:b/>
        </w:rPr>
      </w:r>
    </w:p>
    <w:p>
      <w:pPr>
        <w:pStyle w:val="Normal"/>
        <w:rPr/>
      </w:pPr>
      <w:r>
        <w:rPr/>
      </w:r>
    </w:p>
    <w:p>
      <w:pPr>
        <w:pStyle w:val="Normal"/>
        <w:jc w:val="both"/>
        <w:rPr/>
      </w:pPr>
      <w:r>
        <w:rPr/>
        <w:tab/>
        <w:t>This First Amendment to ISDA Master Agreement dated as of March 12, 2001 (the “Amendment”), is made and entered into by and between Mirant Americas Energy Marketing, LP (formerly known as Southern Company Energy Marketing, L.P.)(“Counterparty”) and Enron North America Corp. (formerly known as Enron Capital &amp; Trade Resources Corp. and Enron Risk Management Services Corp.)(“ENA”).</w:t>
      </w:r>
    </w:p>
    <w:p>
      <w:pPr>
        <w:pStyle w:val="Normal"/>
        <w:jc w:val="both"/>
        <w:rPr/>
      </w:pPr>
      <w:r>
        <w:rPr/>
      </w:r>
    </w:p>
    <w:p>
      <w:pPr>
        <w:pStyle w:val="BodyTextIndent"/>
        <w:jc w:val="both"/>
        <w:rPr/>
      </w:pPr>
      <w:r>
        <w:rPr/>
        <w:t>WHEREAS, Vastar Gas Marketing, Inc. (“VGM”) and ERMS entered into an ISDA Master Agreement dated as of June 1, 1994 (the “Master Agreement”) pursuant to which VGM and Enron Risk Management Services Corp. (“ERMS”) entered into one or more swap, option or other financially-settled derivative transactions; and</w:t>
      </w:r>
    </w:p>
    <w:p>
      <w:pPr>
        <w:pStyle w:val="Normal"/>
        <w:ind w:firstLine="720" w:end="0"/>
        <w:jc w:val="both"/>
        <w:rPr/>
      </w:pPr>
      <w:r>
        <w:rPr/>
      </w:r>
    </w:p>
    <w:p>
      <w:pPr>
        <w:pStyle w:val="Normal"/>
        <w:jc w:val="both"/>
        <w:rPr/>
      </w:pPr>
      <w:r>
        <w:rPr/>
        <w:tab/>
        <w:t>WHEREAS, Vastar Resources, Inc.(“VR”) executed a Parent Guaranty on June 1, 1994 (the “Vastar Guaranty”) guaranteeing the obligations of VGM under the Master Agreement; and</w:t>
      </w:r>
    </w:p>
    <w:p>
      <w:pPr>
        <w:pStyle w:val="Normal"/>
        <w:ind w:firstLine="720" w:end="0"/>
        <w:jc w:val="both"/>
        <w:rPr/>
      </w:pPr>
      <w:r>
        <w:rPr/>
      </w:r>
    </w:p>
    <w:p>
      <w:pPr>
        <w:pStyle w:val="BodyTextIndent"/>
        <w:jc w:val="both"/>
        <w:rPr/>
      </w:pPr>
      <w:r>
        <w:rPr/>
        <w:t xml:space="preserve">WHEREAS, ERMS changed its name to Enron Capital &amp; Trade Resources Corp. (“ECT”) on December 31, 1994; and  </w:t>
      </w:r>
    </w:p>
    <w:p>
      <w:pPr>
        <w:pStyle w:val="Normal"/>
        <w:ind w:firstLine="720" w:end="0"/>
        <w:jc w:val="both"/>
        <w:rPr/>
      </w:pPr>
      <w:r>
        <w:rPr/>
      </w:r>
    </w:p>
    <w:p>
      <w:pPr>
        <w:pStyle w:val="BodyTextIndent"/>
        <w:jc w:val="both"/>
        <w:rPr/>
      </w:pPr>
      <w:r>
        <w:rPr/>
        <w:t xml:space="preserve">WHEREAS, VGM and Southern Company Energy Marketing, L.P. (“SCEM”) executed an Assignment and Assumption Agreement dated September 1, 1997 assigning all of VGM’s rights, duties and obligations under the Master Agreement from VGM to SCEM; and </w:t>
      </w:r>
    </w:p>
    <w:p>
      <w:pPr>
        <w:pStyle w:val="Normal"/>
        <w:ind w:firstLine="720" w:end="0"/>
        <w:jc w:val="both"/>
        <w:rPr/>
      </w:pPr>
      <w:r>
        <w:rPr/>
      </w:r>
    </w:p>
    <w:p>
      <w:pPr>
        <w:pStyle w:val="BodyTextIndent"/>
        <w:jc w:val="both"/>
        <w:rPr/>
      </w:pPr>
      <w:r>
        <w:rPr/>
        <w:t>WHEREAS, the Vastar Guaranty was amended in January, 1998 to cap and limit VR’s aggregate liability under the Vastar Guaranty to $13,000,000; and</w:t>
      </w:r>
    </w:p>
    <w:p>
      <w:pPr>
        <w:pStyle w:val="Normal"/>
        <w:ind w:firstLine="720" w:end="0"/>
        <w:jc w:val="both"/>
        <w:rPr/>
      </w:pPr>
      <w:r>
        <w:rPr/>
      </w:r>
    </w:p>
    <w:p>
      <w:pPr>
        <w:pStyle w:val="BodyTextIndent"/>
        <w:jc w:val="both"/>
        <w:rPr/>
      </w:pPr>
      <w:r>
        <w:rPr/>
        <w:t>WHEREAS, ECT changed its name to Enron North America Corp. (“ENA”) on September 1, 1999; and</w:t>
      </w:r>
    </w:p>
    <w:p>
      <w:pPr>
        <w:pStyle w:val="Normal"/>
        <w:ind w:firstLine="720" w:end="0"/>
        <w:jc w:val="both"/>
        <w:rPr/>
      </w:pPr>
      <w:r>
        <w:rPr/>
      </w:r>
    </w:p>
    <w:p>
      <w:pPr>
        <w:pStyle w:val="Normal"/>
        <w:ind w:firstLine="720" w:end="0"/>
        <w:jc w:val="both"/>
        <w:rPr/>
      </w:pPr>
      <w:r>
        <w:rPr/>
        <w:t>WHEREAS,</w:t>
      </w:r>
      <w:r>
        <w:rPr>
          <w:b/>
        </w:rPr>
        <w:t xml:space="preserve"> </w:t>
      </w:r>
      <w:r>
        <w:rPr/>
        <w:t>the Guarantor (under the name of Southern Energy, Inc.), as the parent company of SCEM, purchased VR’s 40% interest in SCEM on September 11, 2000, making SCEM a wholly-owned subsidiary of the Guarantor; and</w:t>
      </w:r>
    </w:p>
    <w:p>
      <w:pPr>
        <w:pStyle w:val="Normal"/>
        <w:ind w:firstLine="720" w:end="0"/>
        <w:jc w:val="both"/>
        <w:rPr/>
      </w:pPr>
      <w:r>
        <w:rPr/>
      </w:r>
    </w:p>
    <w:p>
      <w:pPr>
        <w:pStyle w:val="Normal"/>
        <w:ind w:firstLine="720" w:end="0"/>
        <w:jc w:val="both"/>
        <w:rPr/>
      </w:pPr>
      <w:r>
        <w:rPr/>
        <w:t>WHEREAS,</w:t>
      </w:r>
      <w:r>
        <w:rPr>
          <w:b/>
        </w:rPr>
        <w:t xml:space="preserve"> </w:t>
      </w:r>
      <w:r>
        <w:rPr/>
        <w:t>the Guarantor changed its name to Mirant Corporation (“MC”) and SCEM changed its name to Mirant Americas Energy Marketing, LP (“MAEM”) on January 19, 2001; and</w:t>
      </w:r>
    </w:p>
    <w:p>
      <w:pPr>
        <w:pStyle w:val="Normal"/>
        <w:ind w:firstLine="720" w:end="0"/>
        <w:jc w:val="both"/>
        <w:rPr/>
      </w:pPr>
      <w:r>
        <w:rPr/>
      </w:r>
    </w:p>
    <w:p>
      <w:pPr>
        <w:pStyle w:val="Normal"/>
        <w:ind w:firstLine="720" w:end="0"/>
        <w:jc w:val="both"/>
        <w:rPr/>
      </w:pPr>
      <w:r>
        <w:rPr/>
        <w:t>WHEREAS,</w:t>
      </w:r>
      <w:r>
        <w:rPr>
          <w:b/>
        </w:rPr>
        <w:t xml:space="preserve"> </w:t>
      </w:r>
      <w:r>
        <w:rPr/>
        <w:t>VR has notified the Guarantor, MAEM and ENA that the Vastar Guaranty will terminate as of March 31, 2001; and</w:t>
      </w:r>
    </w:p>
    <w:p>
      <w:pPr>
        <w:pStyle w:val="Normal"/>
        <w:ind w:firstLine="720" w:end="0"/>
        <w:jc w:val="both"/>
        <w:rPr/>
      </w:pPr>
      <w:r>
        <w:rPr/>
      </w:r>
    </w:p>
    <w:p>
      <w:pPr>
        <w:pStyle w:val="Normal"/>
        <w:ind w:firstLine="720" w:end="0"/>
        <w:jc w:val="both"/>
        <w:rPr/>
      </w:pPr>
      <w:r>
        <w:rPr/>
        <w:t>WHEREAS,</w:t>
      </w:r>
      <w:r>
        <w:rPr>
          <w:b/>
        </w:rPr>
        <w:t xml:space="preserve"> </w:t>
      </w:r>
      <w:r>
        <w:rPr/>
        <w:t>MAEM and ENA desire to continue to enter into swap, option or other financially-settled derivative transactions under the terms and conditions of the Master Agreement; and</w:t>
      </w:r>
    </w:p>
    <w:p>
      <w:pPr>
        <w:pStyle w:val="Normal"/>
        <w:spacing w:lineRule="auto" w:line="360"/>
        <w:jc w:val="both"/>
        <w:rPr>
          <w:b/>
          <w:sz w:val="22"/>
        </w:rPr>
      </w:pPr>
      <w:r>
        <w:rPr>
          <w:b/>
          <w:sz w:val="22"/>
        </w:rPr>
      </w:r>
    </w:p>
    <w:p>
      <w:pPr>
        <w:pStyle w:val="Normal"/>
        <w:ind w:firstLine="720" w:end="0"/>
        <w:jc w:val="both"/>
        <w:rPr/>
      </w:pPr>
      <w:r>
        <w:rPr>
          <w:bCs/>
        </w:rPr>
        <w:t>WHEREAS,</w:t>
      </w:r>
      <w:r>
        <w:rPr>
          <w:b/>
        </w:rPr>
        <w:t xml:space="preserve"> </w:t>
      </w:r>
      <w:r>
        <w:rPr/>
        <w:t>MAEM and ENA wish to amend the Master Agreement as set forth below.</w:t>
      </w:r>
    </w:p>
    <w:p>
      <w:pPr>
        <w:pStyle w:val="Normal"/>
        <w:jc w:val="both"/>
        <w:rPr>
          <w:sz w:val="22"/>
        </w:rPr>
      </w:pPr>
      <w:r>
        <w:rPr>
          <w:sz w:val="22"/>
        </w:rPr>
      </w:r>
    </w:p>
    <w:p>
      <w:pPr>
        <w:pStyle w:val="Normal"/>
        <w:jc w:val="both"/>
        <w:rPr/>
      </w:pPr>
      <w:r>
        <w:rPr>
          <w:sz w:val="22"/>
        </w:rPr>
        <w:tab/>
      </w:r>
      <w:r>
        <w:rPr/>
        <w:t>NOW THEREFORE, for and in consideration of the agreements herein made and other good and valuable consideration, the parties hereto agree as follows:</w:t>
      </w:r>
    </w:p>
    <w:p>
      <w:pPr>
        <w:pStyle w:val="Normal"/>
        <w:jc w:val="both"/>
        <w:rPr/>
      </w:pPr>
      <w:r>
        <w:rPr/>
      </w:r>
    </w:p>
    <w:p>
      <w:pPr>
        <w:pStyle w:val="Normal"/>
        <w:jc w:val="both"/>
        <w:rPr/>
      </w:pPr>
      <w:r>
        <w:rPr/>
      </w:r>
    </w:p>
    <w:p>
      <w:pPr>
        <w:pStyle w:val="Normal"/>
        <w:jc w:val="center"/>
        <w:rPr/>
      </w:pPr>
      <w:r>
        <w:rPr>
          <w:b/>
        </w:rPr>
        <w:t xml:space="preserve">I.  </w:t>
      </w:r>
      <w:r>
        <w:rPr>
          <w:b/>
          <w:u w:val="single"/>
        </w:rPr>
        <w:t>AMENDMENTS</w:t>
      </w:r>
    </w:p>
    <w:p>
      <w:pPr>
        <w:pStyle w:val="Normal"/>
        <w:jc w:val="both"/>
        <w:rPr/>
      </w:pPr>
      <w:r>
        <w:rPr/>
      </w:r>
    </w:p>
    <w:p>
      <w:pPr>
        <w:pStyle w:val="Normal"/>
        <w:jc w:val="both"/>
        <w:rPr/>
      </w:pPr>
      <w:r>
        <w:rPr/>
        <w:tab/>
        <w:t>The Master Agreement is hereby amended as follows:</w:t>
      </w:r>
    </w:p>
    <w:p>
      <w:pPr>
        <w:pStyle w:val="Normal"/>
        <w:jc w:val="both"/>
        <w:rPr/>
      </w:pPr>
      <w:r>
        <w:rPr/>
      </w:r>
    </w:p>
    <w:p>
      <w:pPr>
        <w:pStyle w:val="Normal"/>
        <w:jc w:val="both"/>
        <w:rPr/>
      </w:pPr>
      <w:r>
        <w:rPr/>
        <w:t>1.</w:t>
        <w:tab/>
        <w:t xml:space="preserve">The following changes will be made to the Master Agreement: (1) the term “Enron Risk Management Services Corp. (‘ERMS’)” will be replaced wherever it appears in the Master Agreement with the terms “Enron North Amercia Corp. formerly known as Enron Risk Management Services Corp. and Enron Capital &amp; Trade Resources Corp. (‘ENA’); (2) the term “Vastar Gas Marketing, Inc.” will be replaced wherever it appears in the Master Agreement with the term “Mirant Amercias Energy Marketing, LP formerly known as Southern Company Energy Marketing, L.P.”; and the term “Vastar Resources, Inc.” will be replaced wherever it appears in the Master Agreement with the term “Mirant Corporation formerly known as Southern Energy, Inc.”. </w:t>
        <w:tab/>
      </w:r>
    </w:p>
    <w:p>
      <w:pPr>
        <w:pStyle w:val="Normal"/>
        <w:jc w:val="both"/>
        <w:rPr/>
      </w:pPr>
      <w:r>
        <w:rPr/>
      </w:r>
    </w:p>
    <w:p>
      <w:pPr>
        <w:pStyle w:val="Normal"/>
        <w:jc w:val="both"/>
        <w:rPr/>
      </w:pPr>
      <w:r>
        <w:rPr/>
        <w:t>2.</w:t>
        <w:tab/>
        <w:t>By amending the address of Party B in Part 3(a) of the Schedule to the Master Agreement read:</w:t>
      </w:r>
    </w:p>
    <w:p>
      <w:pPr>
        <w:pStyle w:val="Normal"/>
        <w:jc w:val="both"/>
        <w:rPr/>
      </w:pPr>
      <w:r>
        <w:rPr/>
      </w:r>
    </w:p>
    <w:p>
      <w:pPr>
        <w:pStyle w:val="Normal"/>
        <w:ind w:start="720" w:end="0"/>
        <w:jc w:val="both"/>
        <w:rPr/>
      </w:pPr>
      <w:r>
        <w:rPr/>
        <w:t>“</w:t>
      </w:r>
      <w:r>
        <w:rPr/>
        <w:t>Address:</w:t>
        <w:tab/>
        <w:tab/>
        <w:tab/>
        <w:t>Mirant Americas Energy Marketing, LP f/k/a Southern</w:t>
      </w:r>
    </w:p>
    <w:p>
      <w:pPr>
        <w:pStyle w:val="Normal"/>
        <w:ind w:start="3600" w:end="0"/>
        <w:jc w:val="both"/>
        <w:rPr/>
      </w:pPr>
      <w:r>
        <w:rPr/>
        <w:t xml:space="preserve"> </w:t>
      </w:r>
      <w:r>
        <w:rPr/>
        <w:t>Company Energy Marketing, L.P.</w:t>
      </w:r>
    </w:p>
    <w:p>
      <w:pPr>
        <w:pStyle w:val="Normal"/>
        <w:ind w:start="3600" w:end="0"/>
        <w:jc w:val="both"/>
        <w:rPr/>
      </w:pPr>
      <w:r>
        <w:rPr/>
        <w:t>1155 Perimeter Center West, Suite 130</w:t>
      </w:r>
    </w:p>
    <w:p>
      <w:pPr>
        <w:pStyle w:val="Normal"/>
        <w:ind w:start="3600" w:end="0"/>
        <w:jc w:val="both"/>
        <w:rPr/>
      </w:pPr>
      <w:r>
        <w:rPr/>
        <w:t>Atlanta, GA 30338</w:t>
      </w:r>
    </w:p>
    <w:p>
      <w:pPr>
        <w:pStyle w:val="Normal"/>
        <w:ind w:start="3600" w:end="0"/>
        <w:jc w:val="both"/>
        <w:rPr/>
      </w:pPr>
      <w:r>
        <w:rPr/>
        <w:t>Attn: Nicole Russell</w:t>
      </w:r>
    </w:p>
    <w:p>
      <w:pPr>
        <w:pStyle w:val="Normal"/>
        <w:ind w:start="3600" w:end="0"/>
        <w:jc w:val="both"/>
        <w:rPr/>
      </w:pPr>
      <w:r>
        <w:rPr/>
        <w:t>Fax No. (675) 579-5820</w:t>
        <w:tab/>
        <w:tab/>
      </w:r>
    </w:p>
    <w:p>
      <w:pPr>
        <w:pStyle w:val="Normal"/>
        <w:ind w:start="3600" w:end="0"/>
        <w:jc w:val="both"/>
        <w:rPr/>
      </w:pPr>
      <w:r>
        <w:rPr/>
        <w:t>Tel. No. (675) 579-7489”</w:t>
      </w:r>
    </w:p>
    <w:p>
      <w:pPr>
        <w:pStyle w:val="Normal"/>
        <w:jc w:val="both"/>
        <w:rPr/>
      </w:pPr>
      <w:r>
        <w:rPr/>
      </w:r>
    </w:p>
    <w:p>
      <w:pPr>
        <w:pStyle w:val="Normal"/>
        <w:jc w:val="both"/>
        <w:rPr/>
      </w:pPr>
      <w:r>
        <w:rPr/>
        <w:t>3.</w:t>
        <w:tab/>
        <w:t>Except as amended hereby, all other terms and conditions of the Master Agreement shall remain the same and in full force and effect.</w:t>
      </w:r>
    </w:p>
    <w:p>
      <w:pPr>
        <w:pStyle w:val="Normal"/>
        <w:jc w:val="both"/>
        <w:rPr/>
      </w:pPr>
      <w:r>
        <w:rPr/>
      </w:r>
    </w:p>
    <w:p>
      <w:pPr>
        <w:pStyle w:val="Normal"/>
        <w:jc w:val="both"/>
        <w:rPr/>
      </w:pPr>
      <w:r>
        <w:rPr/>
        <w:t>4.</w:t>
        <w:tab/>
        <w:t>The changes made to the Master Agreement as a result of this Amendment shall be effective as of the date first written above and continue in full force and effect for the remaning term of Master Agreement, unless subsequently further amended in writing by MAEM and ENA.</w:t>
      </w:r>
    </w:p>
    <w:p>
      <w:pPr>
        <w:pStyle w:val="Normal"/>
        <w:jc w:val="both"/>
        <w:rPr/>
      </w:pPr>
      <w:r>
        <w:rPr/>
      </w:r>
    </w:p>
    <w:p>
      <w:pPr>
        <w:pStyle w:val="Normal"/>
        <w:jc w:val="center"/>
        <w:rPr/>
      </w:pPr>
      <w:r>
        <w:rPr>
          <w:b/>
        </w:rPr>
        <w:t xml:space="preserve">II.  </w:t>
      </w:r>
      <w:r>
        <w:rPr>
          <w:b/>
          <w:u w:val="single"/>
        </w:rPr>
        <w:t>MISCELLANEOUS</w:t>
      </w:r>
    </w:p>
    <w:p>
      <w:pPr>
        <w:pStyle w:val="Normal"/>
        <w:jc w:val="both"/>
        <w:rPr/>
      </w:pPr>
      <w:r>
        <w:rPr/>
      </w:r>
    </w:p>
    <w:p>
      <w:pPr>
        <w:pStyle w:val="Normal"/>
        <w:jc w:val="both"/>
        <w:rPr/>
      </w:pPr>
      <w:r>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pPr>
      <w:r>
        <w:rPr/>
      </w:r>
    </w:p>
    <w:p>
      <w:pPr>
        <w:pStyle w:val="Normal"/>
        <w:jc w:val="both"/>
        <w:rPr/>
      </w:pPr>
      <w:r>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Master Agreement.</w:t>
      </w:r>
    </w:p>
    <w:p>
      <w:pPr>
        <w:pStyle w:val="Normal"/>
        <w:jc w:val="both"/>
        <w:rPr/>
      </w:pPr>
      <w:r>
        <w:rPr/>
      </w:r>
    </w:p>
    <w:p>
      <w:pPr>
        <w:pStyle w:val="Normal"/>
        <w:jc w:val="both"/>
        <w:rPr/>
      </w:pPr>
      <w:r>
        <w:rPr/>
        <w:tab/>
        <w:t>IN WITNESS WHEREOF, the parties hereto have caused this Amendment to be executed in multiple originals on March 12, 2001.</w:t>
      </w:r>
    </w:p>
    <w:p>
      <w:pPr>
        <w:pStyle w:val="Normal"/>
        <w:jc w:val="both"/>
        <w:rPr/>
      </w:pPr>
      <w:r>
        <w:rPr/>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t>ENRON NORTH AMERICA CORP.</w:t>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t>By:</w:t>
              <w:tab/>
            </w:r>
            <w:r>
              <w:rPr>
                <w:u w:val="single"/>
              </w:rPr>
              <w:tab/>
              <w:tab/>
              <w:tab/>
              <w:tab/>
            </w:r>
          </w:p>
          <w:p>
            <w:pPr>
              <w:pStyle w:val="Normal"/>
              <w:spacing w:lineRule="exact" w:line="240"/>
              <w:jc w:val="both"/>
              <w:rPr/>
            </w:pPr>
            <w:r>
              <w:rPr/>
              <w:t>Name:</w:t>
              <w:tab/>
            </w:r>
            <w:r>
              <w:rPr>
                <w:u w:val="single"/>
              </w:rPr>
              <w:tab/>
              <w:tab/>
              <w:tab/>
              <w:tab/>
            </w:r>
          </w:p>
          <w:p>
            <w:pPr>
              <w:pStyle w:val="Normal"/>
              <w:spacing w:lineRule="exact" w:line="240"/>
              <w:jc w:val="both"/>
              <w:rPr/>
            </w:pPr>
            <w:r>
              <w:rPr/>
              <w:t>Title:</w:t>
              <w:tab/>
            </w:r>
            <w:r>
              <w:rPr>
                <w:u w:val="single"/>
              </w:rPr>
              <w:tab/>
              <w:tab/>
              <w:tab/>
              <w:tab/>
            </w:r>
          </w:p>
        </w:tc>
        <w:tc>
          <w:tcPr>
            <w:tcW w:w="900" w:type="dxa"/>
            <w:tcBorders/>
          </w:tcPr>
          <w:p>
            <w:pPr>
              <w:pStyle w:val="Normal"/>
              <w:snapToGrid w:val="false"/>
              <w:spacing w:lineRule="exact" w:line="240"/>
              <w:jc w:val="both"/>
              <w:rPr/>
            </w:pPr>
            <w:r>
              <w:rPr/>
            </w:r>
          </w:p>
        </w:tc>
        <w:tc>
          <w:tcPr>
            <w:tcW w:w="4230" w:type="dxa"/>
            <w:tcBorders/>
          </w:tcPr>
          <w:p>
            <w:pPr>
              <w:pStyle w:val="Normal"/>
              <w:spacing w:lineRule="exact" w:line="240"/>
              <w:rPr/>
            </w:pPr>
            <w:r>
              <w:rPr/>
              <w:t>MIRANT AMERICAS ENERGY MARKETING, LP</w:t>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t>By:</w:t>
              <w:tab/>
            </w:r>
            <w:r>
              <w:rPr>
                <w:u w:val="single"/>
              </w:rPr>
              <w:tab/>
              <w:tab/>
              <w:tab/>
              <w:tab/>
            </w:r>
          </w:p>
          <w:p>
            <w:pPr>
              <w:pStyle w:val="Normal"/>
              <w:spacing w:lineRule="exact" w:line="240"/>
              <w:jc w:val="both"/>
              <w:rPr/>
            </w:pPr>
            <w:r>
              <w:rPr/>
              <w:t>Name:</w:t>
              <w:tab/>
            </w:r>
            <w:r>
              <w:rPr>
                <w:u w:val="single"/>
              </w:rPr>
              <w:tab/>
              <w:tab/>
              <w:tab/>
              <w:tab/>
            </w:r>
          </w:p>
          <w:p>
            <w:pPr>
              <w:pStyle w:val="Normal"/>
              <w:spacing w:lineRule="exact" w:line="240"/>
              <w:jc w:val="both"/>
              <w:rPr/>
            </w:pPr>
            <w:r>
              <w:rPr/>
              <w:t>Title:</w:t>
              <w:tab/>
            </w:r>
            <w:r>
              <w:rPr>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1">
    <w:name w:val="WW8Num1z1"/>
    <w:qFormat/>
    <w:rPr>
      <w:b/>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2001-03-12T16:44:00Z</dcterms:created>
  <dc:creator>mheard</dc:creator>
  <dc:description/>
  <dc:language>en-CA</dc:language>
  <cp:lastModifiedBy>fsayre</cp:lastModifiedBy>
  <cp:lastPrinted>2001-03-12T13:51:00Z</cp:lastPrinted>
  <dcterms:modified xsi:type="dcterms:W3CDTF">2001-03-12T17:24:00Z</dcterms:modified>
  <cp:revision>6</cp:revision>
  <dc:subject/>
  <dc:title>AMENDMENT TO MASTER AGREEMENT</dc:title>
</cp:coreProperties>
</file>