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This CONSENT AND AMENDMENT AGREEMENT (this “Amendment”) is entered into by and among Enron North America Corp. (“ENA”), Enron Power Marketing, Inc. (“EPMI”) and Mirant Americas Energy Marketing, L.P</w:t>
      </w:r>
      <w:r>
        <w:rPr>
          <w:b/>
          <w:bCs/>
        </w:rPr>
        <w:t>. (</w:t>
      </w:r>
      <w:r>
        <w:rPr/>
        <w:t xml:space="preserve">formerly known as the Southern Energy Trading and Marketing, Inc., and also formerly known as Southern Company Energy Marketing, L.P.) (“Counterparty”) effective as of July ____, 2001.  </w:t>
      </w:r>
    </w:p>
    <w:p>
      <w:pPr>
        <w:pStyle w:val="Normal"/>
        <w:rPr/>
      </w:pPr>
      <w:r>
        <w:rPr/>
      </w:r>
    </w:p>
    <w:p>
      <w:pPr>
        <w:pStyle w:val="Normal"/>
        <w:rPr/>
      </w:pPr>
      <w:r>
        <w:rPr/>
        <w:t>WHEREAS, ENA and Counterparty have entered into that certain ISDA Master Agreement (the “ISDA Master”) dated effective as of ________________________, and ENA and Counterparty have entered into that certain Base Contract for the Sale and Purchase of Natural Gas dated effective as of January 1, 1998 and the certain Master Firm Purchase/Sale Agreement dated effective as of November 1, 1992 as amended from time to time (collectively the “Gas Master”) and EPMI and Counterparty have entered into that certain Master Energy Purchase and Sale Agreement dated</w:t>
      </w:r>
      <w:r>
        <w:rPr>
          <w:b/>
          <w:bCs/>
        </w:rPr>
        <w:t xml:space="preserve"> </w:t>
      </w:r>
      <w:r>
        <w:rPr/>
        <w:t>as of</w:t>
      </w:r>
      <w:r>
        <w:rPr>
          <w:b/>
          <w:bCs/>
        </w:rPr>
        <w:t xml:space="preserve"> </w:t>
      </w:r>
      <w:r>
        <w:rPr/>
        <w:t>April 1, 1997, and that certain letter agreement dated August 16, 2000 with respect to confirmation procedures (collectively,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  To the extent that EPMI and Counterparty supersede the Power Master by entering into a new Master Purchase and Sale Agreement using the form supplied by the Edison Electric Institute (“EEI Master”), such EEI Master shall become a Governing Agreement for purposes of this Amendment, provided, however, that Annex A shall not apply to any EOL Transactions under the EEI Master.</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MIRANT AMERICAS ENERGY MARKETING, L.P.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jc w:val="center"/>
        <w:rPr/>
      </w:pPr>
      <w:r>
        <w:rPr/>
      </w:r>
      <w:r>
        <w:br w:type="page"/>
      </w:r>
    </w:p>
    <w:p>
      <w:pPr>
        <w:pStyle w:val="Normal"/>
        <w:rPr>
          <w:u w:val="single"/>
        </w:rPr>
      </w:pPr>
      <w:r>
        <w:rPr>
          <w:u w:val="single"/>
        </w:rPr>
        <w:t>ANNEX A</w:t>
      </w:r>
    </w:p>
    <w:p>
      <w:pPr>
        <w:pStyle w:val="Normal"/>
        <w:rPr>
          <w:u w:val="single"/>
        </w:rPr>
      </w:pPr>
      <w:r>
        <w:rPr>
          <w:u w:val="single"/>
        </w:rPr>
      </w:r>
    </w:p>
    <w:p>
      <w:pPr>
        <w:pStyle w:val="Normal"/>
        <w:rPr/>
      </w:pPr>
      <w:r>
        <w:rPr/>
        <w:t>With respect to EOL Transactions under the Power Master, the following shall apply:</w:t>
      </w:r>
    </w:p>
    <w:p>
      <w:pPr>
        <w:pStyle w:val="Normal"/>
        <w:rPr/>
      </w:pPr>
      <w:r>
        <w:rPr/>
      </w:r>
    </w:p>
    <w:p>
      <w:pPr>
        <w:pStyle w:val="Normal"/>
        <w:ind w:start="720" w:end="0"/>
        <w:rPr/>
      </w:pPr>
      <w:r>
        <w:rPr>
          <w:u w:val="single"/>
        </w:rPr>
        <w:t>Confidentiality.</w:t>
      </w:r>
      <w:r>
        <w:rPr/>
        <w:t xml:space="preserve">  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/mnt/main-storage/datasets/enron-docs/doc/MirantEOLConsent-2cf633125ab95e316c16d8517f27f6e4715bd44e767c17ccd0d544084087d0fb.doc</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07/26/01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2001-07-26T17:31:00Z</dcterms:created>
  <dc:creator>mtaylo1</dc:creator>
  <dc:description/>
  <dc:language>en-CA</dc:language>
  <cp:lastModifiedBy>Theresa Zucha</cp:lastModifiedBy>
  <cp:lastPrinted>2001-07-26T14:59:00Z</cp:lastPrinted>
  <dcterms:modified xsi:type="dcterms:W3CDTF">2001-07-26T17:31:00Z</dcterms:modified>
  <cp:revision>2</cp:revision>
  <dc:subject/>
  <dc:title>CONSENT AND AMENDMENT AGREEMENT</dc:title>
</cp:coreProperties>
</file>