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Credit Derivatives Documentation Task Force</w:t>
      </w:r>
    </w:p>
    <w:p>
      <w:pPr>
        <w:pStyle w:val="Normal"/>
        <w:jc w:val="center"/>
        <w:rPr>
          <w:b/>
          <w:bCs/>
        </w:rPr>
      </w:pPr>
      <w:r>
        <w:rPr>
          <w:b/>
          <w:bCs/>
        </w:rPr>
        <w:t>Restructuring Meeting</w:t>
      </w:r>
    </w:p>
    <w:p>
      <w:pPr>
        <w:pStyle w:val="Normal"/>
        <w:jc w:val="center"/>
        <w:rPr>
          <w:b/>
          <w:bCs/>
        </w:rPr>
      </w:pPr>
      <w:r>
        <w:rPr>
          <w:b/>
          <w:bCs/>
        </w:rPr>
      </w:r>
    </w:p>
    <w:p>
      <w:pPr>
        <w:pStyle w:val="Normal"/>
        <w:jc w:val="center"/>
        <w:rPr>
          <w:b/>
          <w:bCs/>
        </w:rPr>
      </w:pPr>
      <w:r>
        <w:rPr>
          <w:b/>
          <w:bCs/>
        </w:rPr>
        <w:t>November 13, 2000 at 9:30 a.m. (New York Time)</w:t>
      </w:r>
    </w:p>
    <w:p>
      <w:pPr>
        <w:pStyle w:val="Normal"/>
        <w:jc w:val="center"/>
        <w:rPr>
          <w:b/>
          <w:bCs/>
        </w:rPr>
      </w:pPr>
      <w:r>
        <w:rPr>
          <w:b/>
          <w:bCs/>
        </w:rPr>
        <w:t>270 Park Avenue, Conference Room 11C, New York</w:t>
      </w:r>
    </w:p>
    <w:p>
      <w:pPr>
        <w:pStyle w:val="Normal"/>
        <w:jc w:val="center"/>
        <w:rPr>
          <w:b/>
          <w:bCs/>
        </w:rPr>
      </w:pPr>
      <w:r>
        <w:rPr>
          <w:b/>
          <w:bCs/>
        </w:rPr>
        <w:t>and</w:t>
      </w:r>
    </w:p>
    <w:p>
      <w:pPr>
        <w:pStyle w:val="Normal"/>
        <w:jc w:val="center"/>
        <w:rPr>
          <w:b/>
          <w:bCs/>
        </w:rPr>
      </w:pPr>
      <w:r>
        <w:rPr>
          <w:b/>
          <w:bCs/>
        </w:rPr>
        <w:t>20 Cabot Square, Canary Wharf, London</w:t>
      </w:r>
    </w:p>
    <w:p>
      <w:pPr>
        <w:pStyle w:val="Normal"/>
        <w:jc w:val="center"/>
        <w:rPr>
          <w:b/>
          <w:bCs/>
        </w:rPr>
      </w:pPr>
      <w:r>
        <w:rPr>
          <w:b/>
          <w:bCs/>
        </w:rPr>
      </w:r>
    </w:p>
    <w:p>
      <w:pPr>
        <w:pStyle w:val="Heading1"/>
        <w:ind w:hanging="0" w:start="0"/>
        <w:rPr/>
      </w:pPr>
      <w:r>
        <w:rPr/>
        <w:t>Introduction</w:t>
      </w:r>
    </w:p>
    <w:p>
      <w:pPr>
        <w:pStyle w:val="Normal"/>
        <w:jc w:val="both"/>
        <w:rPr/>
      </w:pPr>
      <w:r>
        <w:rPr/>
        <w:t xml:space="preserve">Robert Pickel, General Counsel of the International Swaps and Derivatives Association, Inc. (“ISDA”), began the meeting by stating that ISDA received numerous requests to host a meeting to discuss the Restructuring issue.  The recent decision by a number of dealers not to include Restructuring as a credit event prompted the request.  Mr. Pickel stated that the issue was not one of documentation but of market practice.  Accordingly, the purpose of the meeting was education and discussion, rather than attempting at this point to find a solution to the issue.  Mr. Pickel then introduced four individuals to provide their industry-respective views:  Sean Murdoch of Merrill Lynch, presenting the dealer perspective; Brian Lancaster of UBS Warburg and Don Bendernagel of Citigroup, presenting the portfolio managers’ perspective; and Eric Rothman of Ace Guaranty Re, presenting the investor’s perspective. </w:t>
      </w:r>
    </w:p>
    <w:p>
      <w:pPr>
        <w:pStyle w:val="Normal"/>
        <w:jc w:val="both"/>
        <w:rPr/>
      </w:pPr>
      <w:r>
        <w:rPr/>
      </w:r>
    </w:p>
    <w:p>
      <w:pPr>
        <w:pStyle w:val="Heading1"/>
        <w:ind w:hanging="0" w:start="0"/>
        <w:rPr/>
      </w:pPr>
      <w:r>
        <w:rPr/>
        <w:t>Dealer Perspective</w:t>
      </w:r>
    </w:p>
    <w:p>
      <w:pPr>
        <w:pStyle w:val="Normal"/>
        <w:jc w:val="both"/>
        <w:rPr/>
      </w:pPr>
      <w:r>
        <w:rPr/>
        <w:t>Mr. Murdoch stated that market-makers are interested in the continued growth of the credit default swap market and increasing liquidity as a result of increasing volume.  According to Mr. Murdoch, there were two “truths”:  (i) from the buyer of credit protection’s perspective, it must get par back on the asset it is hedging; and (ii) from the seller of credit protection’s perspective, it must achieve bond replication, so that upon settlement there is no risk that delivery will cost them money in the trade.  Restructuring, in his view, was not necessary for either “truth”.</w:t>
      </w:r>
    </w:p>
    <w:p>
      <w:pPr>
        <w:pStyle w:val="Normal"/>
        <w:jc w:val="both"/>
        <w:rPr/>
      </w:pPr>
      <w:r>
        <w:rPr/>
      </w:r>
    </w:p>
    <w:p>
      <w:pPr>
        <w:pStyle w:val="Normal"/>
        <w:jc w:val="both"/>
        <w:rPr/>
      </w:pPr>
      <w:r>
        <w:rPr/>
        <w:t xml:space="preserve">Mr. Murdoch stated that the sellers of credit protection have variable exposure.  A restructuring definition allows for variation for the differing amounts of exposure.  In addition, there are different ways in which bond holders can be restructured.  Different contractual relationships require different credit default swaps, which necessitates different credit events to be specified.  </w:t>
      </w:r>
    </w:p>
    <w:p>
      <w:pPr>
        <w:pStyle w:val="Normal"/>
        <w:jc w:val="both"/>
        <w:rPr/>
      </w:pPr>
      <w:r>
        <w:rPr/>
      </w:r>
    </w:p>
    <w:p>
      <w:pPr>
        <w:pStyle w:val="Normal"/>
        <w:jc w:val="both"/>
        <w:rPr/>
      </w:pPr>
      <w:r>
        <w:rPr/>
        <w:t xml:space="preserve">Mr. Murdoch acknowledged that, without Restructuring, banks are incented to pursue bankruptcy action for the Reference Entity.  Sellers of credit protection need the right to pursue remedies as they see fit in an insolvency proceeding, as they are the ultimate bearer of credit risk.  </w:t>
      </w:r>
    </w:p>
    <w:p>
      <w:pPr>
        <w:pStyle w:val="Normal"/>
        <w:jc w:val="both"/>
        <w:rPr/>
      </w:pPr>
      <w:r>
        <w:rPr/>
      </w:r>
    </w:p>
    <w:p>
      <w:pPr>
        <w:pStyle w:val="Heading1"/>
        <w:ind w:hanging="0" w:start="0"/>
        <w:rPr/>
      </w:pPr>
      <w:r>
        <w:rPr/>
        <w:t>Portfolio Manager Perspective</w:t>
      </w:r>
    </w:p>
    <w:p>
      <w:pPr>
        <w:pStyle w:val="Normal"/>
        <w:jc w:val="both"/>
        <w:rPr/>
      </w:pPr>
      <w:r>
        <w:rPr/>
        <w:t>Mr. Lancaster stated that from his institution’s perspective, as both a net buyer of the product and a significant dealer, as well as from the portfolio manager’s perspective, there should be an orderly development of this market.  Mr. Lancaster expressed strong support for the status quo.</w:t>
      </w:r>
    </w:p>
    <w:p>
      <w:pPr>
        <w:pStyle w:val="Normal"/>
        <w:jc w:val="both"/>
        <w:rPr/>
      </w:pPr>
      <w:r>
        <w:rPr/>
      </w:r>
    </w:p>
    <w:p>
      <w:pPr>
        <w:pStyle w:val="Normal"/>
        <w:jc w:val="both"/>
        <w:rPr/>
      </w:pPr>
      <w:r>
        <w:rPr/>
        <w:t xml:space="preserve">Mr. Lancaster stated that one reason against the dealer’s view on Restructuring is that the holder/lender must agree to any document amendments.  A counterargument could be raised that consent is not always so readily available.  Mr. Lancaster also stated that the group should step back and consider the purpose of a credit default swap.  Is the purpose of a credit default swap as a hedging mechanism or as an investment tool?  </w:t>
      </w:r>
    </w:p>
    <w:p>
      <w:pPr>
        <w:pStyle w:val="Normal"/>
        <w:jc w:val="both"/>
        <w:rPr/>
      </w:pPr>
      <w:r>
        <w:rPr/>
      </w:r>
    </w:p>
    <w:p>
      <w:pPr>
        <w:pStyle w:val="Normal"/>
        <w:jc w:val="both"/>
        <w:rPr/>
      </w:pPr>
      <w:r>
        <w:rPr/>
        <w:t>Mr. Lancaster suggested that the status quo could be maintained through compromise, such as restricting eligible deliverables in the definition.  He also stated that investors, not dealers, should drive the market.  A “one-size-fits-all” solution was necessary.</w:t>
      </w:r>
    </w:p>
    <w:p>
      <w:pPr>
        <w:pStyle w:val="Normal"/>
        <w:jc w:val="both"/>
        <w:rPr/>
      </w:pPr>
      <w:r>
        <w:rPr/>
      </w:r>
    </w:p>
    <w:p>
      <w:pPr>
        <w:pStyle w:val="Normal"/>
        <w:jc w:val="both"/>
        <w:rPr/>
      </w:pPr>
      <w:r>
        <w:rPr/>
        <w:t>Mr. Bendernagel stated that his institution has not taken a position on the issue yet. However, from the general perspective of a portfolio manager, a compromise solution was preferred, if one is agreeable.  Mr. Bendernagel stressed the need for flexibility and to avoid the creation of only one form of credit derivative without Restructuring as a Credit Event.</w:t>
      </w:r>
    </w:p>
    <w:p>
      <w:pPr>
        <w:pStyle w:val="Normal"/>
        <w:jc w:val="both"/>
        <w:rPr/>
      </w:pPr>
      <w:r>
        <w:rPr/>
      </w:r>
    </w:p>
    <w:p>
      <w:pPr>
        <w:pStyle w:val="Heading1"/>
        <w:ind w:hanging="0" w:start="0"/>
        <w:rPr/>
      </w:pPr>
      <w:r>
        <w:rPr/>
        <w:t>Investor Perspective</w:t>
      </w:r>
    </w:p>
    <w:p>
      <w:pPr>
        <w:pStyle w:val="Normal"/>
        <w:jc w:val="both"/>
        <w:rPr/>
      </w:pPr>
      <w:r>
        <w:rPr/>
        <w:t xml:space="preserve">Mr. Rothman stated that progress was made toward a more objective standard in the ISDA 1999 Credit Derivatives Definitions (the “Definitions”), but some reconsideration of the restructuring issue might be warranted.  </w:t>
      </w:r>
    </w:p>
    <w:p>
      <w:pPr>
        <w:pStyle w:val="Normal"/>
        <w:jc w:val="both"/>
        <w:rPr/>
      </w:pPr>
      <w:r>
        <w:rPr/>
      </w:r>
    </w:p>
    <w:p>
      <w:pPr>
        <w:pStyle w:val="Normal"/>
        <w:jc w:val="both"/>
        <w:rPr/>
      </w:pPr>
      <w:r>
        <w:rPr/>
        <w:t xml:space="preserve">According to Mr. Rothman, while reinsurers share many of the concerns of the dealer community, they approach the market in a fundamentally different way.  Most reinsurers are true end-users in that they only sell protection and retain the risk until its scheduled termination date.  Thus, these reinsurers focus primarily on the credit analysis of the Reference Entity.  </w:t>
      </w:r>
    </w:p>
    <w:p>
      <w:pPr>
        <w:pStyle w:val="Normal"/>
        <w:jc w:val="both"/>
        <w:rPr/>
      </w:pPr>
      <w:r>
        <w:rPr/>
      </w:r>
    </w:p>
    <w:p>
      <w:pPr>
        <w:pStyle w:val="Normal"/>
        <w:jc w:val="both"/>
        <w:rPr/>
      </w:pPr>
      <w:r>
        <w:rPr/>
        <w:t>Mr. Rothman focused on the effect of a “soft credit event”.  This situation results where a Restructuring occurs and the result is that the price of the traded debt of the Reference Entity is not materially changed from a credit perspective.  The difficulty with a soft credit event, from the reinsurer’s perspective, is that the seller is put in the position to pay par for the Deliverable Obligations and if interest rates have risen, the seller of credit protection in effect gives the buyer a free interest rate hedge.  Typically, according to Mr. Rothman, the longer the maturity of the Reference Entity’s outstanding debt, the steeper the decline in its price when interest rates rise.  For other Credit Events, this is less relevant because under those events, the expectation is that the price of all maturities of that issuer’s debt will converge since they will all be immediately due and payable.</w:t>
      </w:r>
    </w:p>
    <w:p>
      <w:pPr>
        <w:pStyle w:val="Normal"/>
        <w:jc w:val="both"/>
        <w:rPr/>
      </w:pPr>
      <w:r>
        <w:rPr/>
      </w:r>
    </w:p>
    <w:p>
      <w:pPr>
        <w:pStyle w:val="Normal"/>
        <w:jc w:val="both"/>
        <w:rPr/>
      </w:pPr>
      <w:r>
        <w:rPr/>
        <w:t>Mr. Rothman stated that in the predecessor contract to the short-form confirmation now in use, there was a materiality test that had to be satisfied as a condition to payment.  That test provided that upon the occurrence of a Credit Event, the Calculation Agent would effectively strip-out any change in price of the Reference Obligation attributable to a change in interest rates.  However, in today’s market, the materiality test is no longer an accepted practice.</w:t>
      </w:r>
    </w:p>
    <w:p>
      <w:pPr>
        <w:pStyle w:val="Normal"/>
        <w:jc w:val="both"/>
        <w:rPr/>
      </w:pPr>
      <w:r>
        <w:rPr/>
      </w:r>
    </w:p>
    <w:p>
      <w:pPr>
        <w:pStyle w:val="Normal"/>
        <w:jc w:val="both"/>
        <w:rPr/>
      </w:pPr>
      <w:r>
        <w:rPr/>
        <w:t>Restructuring, stated Mr. Rothman, particularly without a materiality component, forces sellers of protection to look even harder at the Reference Entity and to move up the credit curve to alleviate their concerns.  This process has an impact on the liquidity of the market.  Restructuring may also cause sellers to insist on additional documentary protection to lessen the blow of a soft credit event.</w:t>
      </w:r>
    </w:p>
    <w:p>
      <w:pPr>
        <w:pStyle w:val="Normal"/>
        <w:jc w:val="both"/>
        <w:rPr/>
      </w:pPr>
      <w:r>
        <w:rPr/>
      </w:r>
    </w:p>
    <w:p>
      <w:pPr>
        <w:pStyle w:val="Normal"/>
        <w:jc w:val="both"/>
        <w:rPr/>
      </w:pPr>
      <w:r>
        <w:rPr/>
        <w:t xml:space="preserve">From the seller’s point of view, the best outcome is the removal of Restructuring as a Credit Event.  Mr. Rothman stated that he believed that credit derivatives should operate as a credit product and nothing else.    </w:t>
      </w:r>
    </w:p>
    <w:p>
      <w:pPr>
        <w:pStyle w:val="Normal"/>
        <w:jc w:val="both"/>
        <w:rPr/>
      </w:pPr>
      <w:r>
        <w:rPr/>
      </w:r>
    </w:p>
    <w:p>
      <w:pPr>
        <w:pStyle w:val="Normal"/>
        <w:jc w:val="both"/>
        <w:rPr>
          <w:u w:val="single"/>
        </w:rPr>
      </w:pPr>
      <w:r>
        <w:rPr>
          <w:u w:val="single"/>
        </w:rPr>
        <w:t>Discussion</w:t>
      </w:r>
    </w:p>
    <w:p>
      <w:pPr>
        <w:pStyle w:val="Normal"/>
        <w:jc w:val="both"/>
        <w:rPr/>
      </w:pPr>
      <w:r>
        <w:rPr/>
        <w:t>One attendee stated that the discussion should begin with considering the concept of a credit derivative as a derivative product.  This attendee stated that the product has become more customized and the more generic the product becomes, the more liquidity that is available.</w:t>
      </w:r>
    </w:p>
    <w:p>
      <w:pPr>
        <w:pStyle w:val="Normal"/>
        <w:jc w:val="both"/>
        <w:rPr/>
      </w:pPr>
      <w:r>
        <w:rPr/>
      </w:r>
    </w:p>
    <w:p>
      <w:pPr>
        <w:pStyle w:val="Normal"/>
        <w:jc w:val="both"/>
        <w:rPr/>
      </w:pPr>
      <w:r>
        <w:rPr/>
        <w:t>It was asked whether the group in London was familiar with the facts of the Conseco case.  Mr. Murdoch provided a brief summary of the case.</w:t>
      </w:r>
    </w:p>
    <w:p>
      <w:pPr>
        <w:pStyle w:val="Normal"/>
        <w:jc w:val="both"/>
        <w:rPr/>
      </w:pPr>
      <w:r>
        <w:rPr/>
      </w:r>
    </w:p>
    <w:p>
      <w:pPr>
        <w:pStyle w:val="Normal"/>
        <w:jc w:val="both"/>
        <w:rPr/>
      </w:pPr>
      <w:r>
        <w:rPr/>
        <w:t>An attendee asked whether a solution could be narrowing the definition of what is deliverable.  It was responded that a bank could choose not to restructure. It was stated that the contract must work for both sides of the transaction and that at this point, sellers of credit protection have no right to do anything and the other side has a free option.</w:t>
      </w:r>
    </w:p>
    <w:p>
      <w:pPr>
        <w:pStyle w:val="Normal"/>
        <w:jc w:val="both"/>
        <w:rPr/>
      </w:pPr>
      <w:r>
        <w:rPr/>
      </w:r>
    </w:p>
    <w:p>
      <w:pPr>
        <w:pStyle w:val="Normal"/>
        <w:jc w:val="both"/>
        <w:rPr/>
      </w:pPr>
      <w:r>
        <w:rPr/>
        <w:t>An attendee asked why Restructuring in and of itself should cease to exist.  Mr. Pickel stated that there was no suggestion that Restructuring be removed from the Definitions.  Restructuring remains on the menu of choices for credit events and parties can choose to elect Restructuring or not.</w:t>
      </w:r>
    </w:p>
    <w:p>
      <w:pPr>
        <w:pStyle w:val="Normal"/>
        <w:jc w:val="both"/>
        <w:rPr/>
      </w:pPr>
      <w:r>
        <w:rPr/>
      </w:r>
    </w:p>
    <w:p>
      <w:pPr>
        <w:pStyle w:val="Normal"/>
        <w:jc w:val="both"/>
        <w:rPr/>
      </w:pPr>
      <w:r>
        <w:rPr/>
        <w:t>An attendee stated that Restructuring has obvious value when the transaction involves a Sovereign borrower, in which case credit events need to parallel the basis on which participants trade in the market.</w:t>
      </w:r>
    </w:p>
    <w:p>
      <w:pPr>
        <w:pStyle w:val="Normal"/>
        <w:jc w:val="both"/>
        <w:rPr/>
      </w:pPr>
      <w:r>
        <w:rPr/>
      </w:r>
    </w:p>
    <w:p>
      <w:pPr>
        <w:pStyle w:val="Normal"/>
        <w:jc w:val="both"/>
        <w:rPr/>
      </w:pPr>
      <w:r>
        <w:rPr/>
        <w:t>An attendee asked why the Conseco case reached the right result.  An attendee responded that people in the market felt that the events in the Conseco case constituted a credit event.</w:t>
      </w:r>
    </w:p>
    <w:p>
      <w:pPr>
        <w:pStyle w:val="Normal"/>
        <w:jc w:val="both"/>
        <w:rPr/>
      </w:pPr>
      <w:r>
        <w:rPr/>
      </w:r>
    </w:p>
    <w:p>
      <w:pPr>
        <w:pStyle w:val="Normal"/>
        <w:jc w:val="both"/>
        <w:rPr/>
      </w:pPr>
      <w:r>
        <w:rPr/>
        <w:t>An attendee suggested that the definition of Restructuring should be reconsidered. It was stated that dealers have an influence on what the market quotes, driving other market participants’ choices and reducing the opportunity for investors to get involved in the market.  It was suggested that the definition could be narrowed.</w:t>
      </w:r>
    </w:p>
    <w:p>
      <w:pPr>
        <w:pStyle w:val="Normal"/>
        <w:jc w:val="both"/>
        <w:rPr/>
      </w:pPr>
      <w:r>
        <w:rPr/>
      </w:r>
    </w:p>
    <w:p>
      <w:pPr>
        <w:pStyle w:val="Normal"/>
        <w:jc w:val="both"/>
        <w:rPr/>
      </w:pPr>
      <w:r>
        <w:rPr/>
        <w:t>An attendee stated that their problem with the restructuring issue is that they looked at whether a default had occurred or not occurred.  It was stated that market participants will not say that when a Restructuring occurs, a default is, or may, occur.  In addition, most restructuring information is not available to the public.</w:t>
      </w:r>
    </w:p>
    <w:p>
      <w:pPr>
        <w:pStyle w:val="Normal"/>
        <w:jc w:val="both"/>
        <w:rPr/>
      </w:pPr>
      <w:r>
        <w:rPr/>
      </w:r>
    </w:p>
    <w:p>
      <w:pPr>
        <w:pStyle w:val="Normal"/>
        <w:jc w:val="both"/>
        <w:rPr/>
      </w:pPr>
      <w:r>
        <w:rPr/>
        <w:t xml:space="preserve">Another attendee stated that they wanted data to analyze the event.  This attendee maintains a distressed exchange, and although this meeting was not the appropriate venue for discussion of that issue, an article was recommended as being available from this attendee.  </w:t>
      </w:r>
    </w:p>
    <w:p>
      <w:pPr>
        <w:pStyle w:val="Normal"/>
        <w:jc w:val="both"/>
        <w:rPr/>
      </w:pPr>
      <w:r>
        <w:rPr/>
      </w:r>
    </w:p>
    <w:p>
      <w:pPr>
        <w:pStyle w:val="Normal"/>
        <w:jc w:val="both"/>
        <w:rPr/>
      </w:pPr>
      <w:r>
        <w:rPr/>
        <w:t>It was asked how Restructuring is looked at for Sovereigns.  One attendee did not provide an answer.  Another attendee stated that restructuring in the Sovereign context is considered a default.  This attendee’s primary question for the audience was whether participants felt that Restructuring was really a timing-related event, i.e., it was a Bankruptcy or Failure to Pay averted by prior action.</w:t>
      </w:r>
    </w:p>
    <w:p>
      <w:pPr>
        <w:pStyle w:val="Normal"/>
        <w:jc w:val="both"/>
        <w:rPr/>
      </w:pPr>
      <w:r>
        <w:rPr/>
      </w:r>
    </w:p>
    <w:p>
      <w:pPr>
        <w:pStyle w:val="Normal"/>
        <w:jc w:val="both"/>
        <w:rPr/>
      </w:pPr>
      <w:r>
        <w:rPr/>
        <w:t>At this point in the meeting, the London participants ended the teleconference portion of the meeting in order to continue with their own discussion.</w:t>
      </w:r>
    </w:p>
    <w:p>
      <w:pPr>
        <w:pStyle w:val="Normal"/>
        <w:jc w:val="both"/>
        <w:rPr/>
      </w:pPr>
      <w:r>
        <w:rPr/>
      </w:r>
    </w:p>
    <w:p>
      <w:pPr>
        <w:pStyle w:val="Normal"/>
        <w:jc w:val="both"/>
        <w:rPr/>
      </w:pPr>
      <w:r>
        <w:rPr/>
        <w:t>In New York, an attendee responded that it may or may not be a timing-related event.  It was also stated that it seemed arbitrary whether an event was considered a Restructuring or a roll-over of a loan.  An attendee stated that there was a significant amount of subordination, so it was not solely an issue of roll-over versus Restructuring.</w:t>
      </w:r>
    </w:p>
    <w:p>
      <w:pPr>
        <w:pStyle w:val="Normal"/>
        <w:jc w:val="both"/>
        <w:rPr/>
      </w:pPr>
      <w:r>
        <w:rPr/>
      </w:r>
    </w:p>
    <w:p>
      <w:pPr>
        <w:pStyle w:val="Normal"/>
        <w:jc w:val="both"/>
        <w:rPr/>
      </w:pPr>
      <w:r>
        <w:rPr/>
        <w:t>An attendee stated they believed a narrowed definition was a possible solution. Another attendee stated that another potential solution was to define Restructuring with respect to bonds only and that this would also address the issue for European counterparties.  Another attendee agreed with the attendee making the suggestion.</w:t>
      </w:r>
    </w:p>
    <w:p>
      <w:pPr>
        <w:pStyle w:val="Normal"/>
        <w:jc w:val="both"/>
        <w:rPr/>
      </w:pPr>
      <w:r>
        <w:rPr/>
      </w:r>
    </w:p>
    <w:p>
      <w:pPr>
        <w:pStyle w:val="Normal"/>
        <w:jc w:val="both"/>
        <w:rPr/>
      </w:pPr>
      <w:r>
        <w:rPr/>
        <w:t>Two attendees stated that the above solution created a two-tier market:  bonds with Restructuring as a credit event and loan without Restructuring as a credit event.  Another attendee stated that when banks decide to Restructure, it requires 100 percent consent of the participants and there was no cabal occurring.  Deutsche Bank stated that a bank could choose not to approve the Restructuring and still obtain protection under the Failure to Pay or Bankruptcy scenarios.  An attendee responded that the sellers of credit protection were not aware of what may be going on, as only the lenders are present when such a decision is made, not the dealers.</w:t>
      </w:r>
    </w:p>
    <w:p>
      <w:pPr>
        <w:pStyle w:val="Normal"/>
        <w:jc w:val="both"/>
        <w:rPr/>
      </w:pPr>
      <w:r>
        <w:rPr/>
      </w:r>
    </w:p>
    <w:p>
      <w:pPr>
        <w:pStyle w:val="Normal"/>
        <w:jc w:val="both"/>
        <w:rPr/>
      </w:pPr>
      <w:r>
        <w:rPr/>
        <w:t>Another attendee stated that there was no unanimity in the interdealer community on the Restructuring issue.</w:t>
      </w:r>
    </w:p>
    <w:p>
      <w:pPr>
        <w:pStyle w:val="Normal"/>
        <w:jc w:val="both"/>
        <w:rPr/>
      </w:pPr>
      <w:r>
        <w:rPr/>
      </w:r>
    </w:p>
    <w:p>
      <w:pPr>
        <w:pStyle w:val="Normal"/>
        <w:jc w:val="both"/>
        <w:rPr/>
      </w:pPr>
      <w:r>
        <w:rPr/>
        <w:t>An attendee stated that if their institution is unable to have Restructuring as a credit event, it would not engage in credit derivatives.  Another attendee inquired what other instruments could replicate this, and it was responded by the first attendee that it would need to analyze its position.</w:t>
      </w:r>
    </w:p>
    <w:p>
      <w:pPr>
        <w:pStyle w:val="Normal"/>
        <w:jc w:val="both"/>
        <w:rPr/>
      </w:pPr>
      <w:r>
        <w:rPr/>
      </w:r>
    </w:p>
    <w:p>
      <w:pPr>
        <w:pStyle w:val="Normal"/>
        <w:jc w:val="both"/>
        <w:rPr/>
      </w:pPr>
      <w:r>
        <w:rPr/>
        <w:t>An attendee suggested that a possible solution is to buy protection for a period longer than the maturity of the loan.  An attendee responded that the market is illiquid once prices start heading south. Accounting issues were also mentioned.</w:t>
      </w:r>
    </w:p>
    <w:p>
      <w:pPr>
        <w:pStyle w:val="Normal"/>
        <w:jc w:val="both"/>
        <w:rPr/>
      </w:pPr>
      <w:r>
        <w:rPr/>
      </w:r>
    </w:p>
    <w:p>
      <w:pPr>
        <w:pStyle w:val="Normal"/>
        <w:jc w:val="both"/>
        <w:rPr/>
      </w:pPr>
      <w:r>
        <w:rPr/>
        <w:t>An attendee stated that the definition should be maintained.  If a party needs Restructuring as a credit event, it could choose it as an option.  Standardization was important to maintain in this market.  Another attendee asked whether even if the definition was amended, would participants’ behaviors change.</w:t>
      </w:r>
    </w:p>
    <w:p>
      <w:pPr>
        <w:pStyle w:val="Normal"/>
        <w:jc w:val="both"/>
        <w:rPr/>
      </w:pPr>
      <w:r>
        <w:rPr/>
      </w:r>
    </w:p>
    <w:p>
      <w:pPr>
        <w:pStyle w:val="Heading1"/>
        <w:ind w:hanging="0" w:start="0"/>
        <w:rPr>
          <w:u w:val="none"/>
        </w:rPr>
      </w:pPr>
      <w:r>
        <w:rPr/>
        <w:t>Next Steps</w:t>
      </w:r>
    </w:p>
    <w:p>
      <w:pPr>
        <w:pStyle w:val="Normal"/>
        <w:jc w:val="both"/>
        <w:rPr/>
      </w:pPr>
      <w:r>
        <w:rPr/>
        <w:t>An attendee suggested that ISDA draft a memorandum detailing the “downside” of each suggested approach.  Another attendee suggested that a sub-group of portfolio managers be formed as broad input was necessary.</w:t>
      </w:r>
    </w:p>
    <w:p>
      <w:pPr>
        <w:pStyle w:val="Normal"/>
        <w:jc w:val="both"/>
        <w:rPr/>
      </w:pPr>
      <w:r>
        <w:rPr/>
      </w:r>
    </w:p>
    <w:p>
      <w:pPr>
        <w:pStyle w:val="Normal"/>
        <w:jc w:val="both"/>
        <w:rPr/>
      </w:pPr>
      <w:r>
        <w:rPr>
          <w:i/>
          <w:iCs/>
        </w:rPr>
        <w:t xml:space="preserve">Requested Action from Members.  </w:t>
      </w:r>
      <w:r>
        <w:rPr/>
        <w:t xml:space="preserve">(1)  Mr. Pickel stated that a small group should be formed to consider possible solutions to the restructuring issue:  (i) dealers; (ii) portfolio managers; and (iii) end users.  Individuals who are interested in working on this issue over the next six weeks should contact him by email at </w:t>
      </w:r>
      <w:hyperlink r:id="rId2">
        <w:r>
          <w:rPr>
            <w:rStyle w:val="Hyperlink"/>
          </w:rPr>
          <w:t>rpickel@isda.org</w:t>
        </w:r>
      </w:hyperlink>
      <w:r>
        <w:rPr/>
        <w:t xml:space="preserve"> as soon as possible. (2)  Mr. Pickel stated that individuals should email him if they felt that a Trading Practices Committee on Credit Derivatives would be useful.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pickel@isda.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2000-11-13T20:55:00Z</dcterms:created>
  <dc:creator>VALUED SONY CUSTOMER</dc:creator>
  <dc:description/>
  <dc:language>en-CA</dc:language>
  <cp:lastModifiedBy>VALUED SONY CUSTOMER</cp:lastModifiedBy>
  <cp:lastPrinted>2000-11-13T19:11:00Z</cp:lastPrinted>
  <dcterms:modified xsi:type="dcterms:W3CDTF">2000-11-21T16:45:00Z</dcterms:modified>
  <cp:revision>22</cp:revision>
  <dc:subject/>
  <dc:title>Credit Derivatives Documentation Task Force</dc:title>
</cp:coreProperties>
</file>