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s>
        <w:jc w:val="end"/>
        <w:rPr>
          <w:lang w:val="en-GB"/>
        </w:rPr>
      </w:pPr>
      <w:r>
        <w:rPr>
          <w:lang w:val="en-GB"/>
        </w:rPr>
        <w:t>Nowa Sarzyna, October 3, 2001</w:t>
      </w:r>
    </w:p>
    <w:p>
      <w:pPr>
        <w:pStyle w:val="Normal"/>
        <w:tabs>
          <w:tab w:val="left" w:pos="720" w:leader="none"/>
          <w:tab w:val="left" w:pos="1440" w:leader="none"/>
          <w:tab w:val="left" w:pos="2160" w:leader="none"/>
          <w:tab w:val="left" w:pos="2880" w:leader="none"/>
          <w:tab w:val="left" w:pos="3600" w:leader="none"/>
          <w:tab w:val="left" w:pos="4320" w:leader="none"/>
        </w:tabs>
        <w:jc w:val="end"/>
        <w:rPr>
          <w:lang w:val="en-GB"/>
        </w:rPr>
      </w:pPr>
      <w:r>
        <w:rPr>
          <w:lang w:val="en-GB"/>
        </w:rPr>
      </w:r>
    </w:p>
    <w:p>
      <w:pPr>
        <w:pStyle w:val="Text"/>
        <w:spacing w:before="0" w:after="0"/>
        <w:ind w:hanging="0" w:end="0"/>
        <w:jc w:val="center"/>
        <w:rPr>
          <w:b/>
          <w:lang w:val="en-GB"/>
        </w:rPr>
      </w:pPr>
      <w:r>
        <w:rPr>
          <w:b/>
          <w:lang w:val="en-GB"/>
        </w:rPr>
        <w:t>MINUTES OF THE MEETING</w:t>
      </w:r>
    </w:p>
    <w:p>
      <w:pPr>
        <w:pStyle w:val="Text"/>
        <w:spacing w:before="0" w:after="0"/>
        <w:ind w:hanging="0" w:end="0"/>
        <w:jc w:val="center"/>
        <w:rPr>
          <w:b/>
          <w:lang w:val="en-GB"/>
        </w:rPr>
      </w:pPr>
      <w:r>
        <w:rPr>
          <w:b/>
          <w:lang w:val="en-GB"/>
        </w:rPr>
        <w:t>OF THE MANAGEMENT BOARD</w:t>
      </w:r>
    </w:p>
    <w:p>
      <w:pPr>
        <w:pStyle w:val="Text"/>
        <w:spacing w:before="0" w:after="0"/>
        <w:ind w:hanging="0" w:end="0"/>
        <w:jc w:val="center"/>
        <w:rPr>
          <w:b/>
          <w:lang w:val="en-GB"/>
        </w:rPr>
      </w:pPr>
      <w:r>
        <w:rPr>
          <w:b/>
          <w:lang w:val="en-GB"/>
        </w:rPr>
        <w:t>OF ELEKTROCIEPŁOWNIA NOWA SARZYNA Sp. z o.o.</w:t>
      </w:r>
    </w:p>
    <w:p>
      <w:pPr>
        <w:pStyle w:val="Text"/>
        <w:ind w:hanging="0" w:end="0"/>
        <w:jc w:val="center"/>
        <w:rPr>
          <w:b/>
          <w:lang w:val="en-GB"/>
        </w:rPr>
      </w:pPr>
      <w:r>
        <w:rPr>
          <w:b/>
          <w:lang w:val="en-GB"/>
        </w:rPr>
        <w:t>WITH ITS SEAT IN NOWA SARZYNA</w:t>
      </w:r>
    </w:p>
    <w:p>
      <w:pPr>
        <w:pStyle w:val="Text"/>
        <w:ind w:hanging="0" w:end="0"/>
        <w:jc w:val="center"/>
        <w:rPr>
          <w:b/>
          <w:lang w:val="en-GB"/>
        </w:rPr>
      </w:pPr>
      <w:r>
        <w:rPr>
          <w:b/>
          <w:lang w:val="en-GB"/>
        </w:rPr>
        <w:t>October 3, 2001</w:t>
      </w:r>
    </w:p>
    <w:p>
      <w:pPr>
        <w:pStyle w:val="Text"/>
        <w:ind w:hanging="0" w:end="0"/>
        <w:jc w:val="both"/>
        <w:rPr>
          <w:lang w:val="en-GB"/>
        </w:rPr>
      </w:pPr>
      <w:r>
        <w:rPr>
          <w:lang w:val="en-GB"/>
        </w:rPr>
        <w:t>On October 3, 2001 at 12.00, in Nowa Sarzyna, at ul. ks. J. Popiełuszki 2, a Meeting of the Management Board of Elektrociepłownia Nowa Sarzyna Spółka z ograniczoną odpowiedzialnością (the „Company”) was held.</w:t>
      </w:r>
    </w:p>
    <w:p>
      <w:pPr>
        <w:pStyle w:val="Text"/>
        <w:ind w:hanging="0" w:end="0"/>
        <w:jc w:val="both"/>
        <w:rPr/>
      </w:pPr>
      <w:r>
        <w:rPr>
          <w:lang w:val="en-GB"/>
        </w:rPr>
        <w:t>The Meeting of the Management Board was opened by Mr. Jacek Głowacki, the President of the Management Board, who stated that the following members of the Management Board (MB) were present at the meeting:</w:t>
      </w:r>
    </w:p>
    <w:p>
      <w:pPr>
        <w:pStyle w:val="Text"/>
        <w:spacing w:before="0" w:after="0"/>
        <w:ind w:hanging="0" w:end="0"/>
        <w:jc w:val="both"/>
        <w:rPr>
          <w:lang w:val="en-GB"/>
        </w:rPr>
      </w:pPr>
      <w:r>
        <w:rPr>
          <w:lang w:val="en-GB"/>
        </w:rPr>
        <w:t>1.</w:t>
        <w:tab/>
        <w:t>Jacek Głowacki - President of the Management Board;</w:t>
      </w:r>
    </w:p>
    <w:p>
      <w:pPr>
        <w:pStyle w:val="Text"/>
        <w:spacing w:before="0" w:after="0"/>
        <w:ind w:hanging="0" w:end="0"/>
        <w:jc w:val="both"/>
        <w:rPr>
          <w:lang w:val="en-GB"/>
        </w:rPr>
      </w:pPr>
      <w:r>
        <w:rPr>
          <w:lang w:val="en-GB"/>
        </w:rPr>
        <w:t>2.</w:t>
        <w:tab/>
        <w:t>George Lojko – Board Member;</w:t>
      </w:r>
    </w:p>
    <w:p>
      <w:pPr>
        <w:pStyle w:val="Text"/>
        <w:numPr>
          <w:ilvl w:val="0"/>
          <w:numId w:val="2"/>
        </w:numPr>
        <w:jc w:val="both"/>
        <w:rPr>
          <w:lang w:val="en-GB"/>
        </w:rPr>
      </w:pPr>
      <w:r>
        <w:rPr>
          <w:lang w:val="en-GB"/>
        </w:rPr>
        <w:t>Aleksander Zarębski - Board Member;</w:t>
      </w:r>
    </w:p>
    <w:p>
      <w:pPr>
        <w:pStyle w:val="Text"/>
        <w:ind w:hanging="0" w:end="0"/>
        <w:jc w:val="both"/>
        <w:rPr>
          <w:lang w:val="en-GB"/>
        </w:rPr>
      </w:pPr>
      <w:r>
        <w:rPr>
          <w:lang w:val="en-GB"/>
        </w:rPr>
        <w:t xml:space="preserve"> </w:t>
      </w:r>
      <w:r>
        <w:rPr>
          <w:lang w:val="en-GB"/>
        </w:rPr>
        <w:t>and</w:t>
      </w:r>
    </w:p>
    <w:p>
      <w:pPr>
        <w:pStyle w:val="Text"/>
        <w:numPr>
          <w:ilvl w:val="0"/>
          <w:numId w:val="2"/>
        </w:numPr>
        <w:spacing w:before="0" w:after="0"/>
        <w:jc w:val="both"/>
        <w:rPr>
          <w:lang w:val="en-GB"/>
        </w:rPr>
      </w:pPr>
      <w:r>
        <w:rPr>
          <w:lang w:val="en-GB"/>
        </w:rPr>
        <w:t>Iwona Sierżęga – Management Accounting Specialist;</w:t>
      </w:r>
    </w:p>
    <w:p>
      <w:pPr>
        <w:pStyle w:val="Text"/>
        <w:numPr>
          <w:ilvl w:val="0"/>
          <w:numId w:val="12"/>
        </w:numPr>
        <w:jc w:val="both"/>
        <w:rPr>
          <w:lang w:val="en-GB"/>
        </w:rPr>
      </w:pPr>
      <w:r>
        <w:rPr>
          <w:lang w:val="en-GB"/>
        </w:rPr>
        <w:t xml:space="preserve">Renata Maziarz – Sen. Admin. Assistant, meeting secretary. </w:t>
      </w:r>
    </w:p>
    <w:p>
      <w:pPr>
        <w:pStyle w:val="Text"/>
        <w:ind w:hanging="0" w:end="0"/>
        <w:jc w:val="both"/>
        <w:rPr>
          <w:lang w:val="en-GB"/>
        </w:rPr>
      </w:pPr>
      <w:r>
        <w:rPr>
          <w:lang w:val="en-GB"/>
        </w:rPr>
      </w:r>
    </w:p>
    <w:p>
      <w:pPr>
        <w:pStyle w:val="Text"/>
        <w:ind w:hanging="0" w:end="0"/>
        <w:jc w:val="both"/>
        <w:rPr>
          <w:lang w:val="en-GB"/>
        </w:rPr>
      </w:pPr>
      <w:r>
        <w:rPr>
          <w:lang w:val="en-GB"/>
        </w:rPr>
        <w:t>Mr. Jacek Głowacki proposed the following agenda:</w:t>
      </w:r>
    </w:p>
    <w:p>
      <w:pPr>
        <w:pStyle w:val="Text"/>
        <w:numPr>
          <w:ilvl w:val="0"/>
          <w:numId w:val="10"/>
        </w:numPr>
        <w:jc w:val="both"/>
        <w:rPr>
          <w:lang w:val="en-GB"/>
        </w:rPr>
      </w:pPr>
      <w:r>
        <w:rPr>
          <w:lang w:val="en-GB"/>
        </w:rPr>
        <w:t>Review of the actions in September 2001.</w:t>
      </w:r>
    </w:p>
    <w:p>
      <w:pPr>
        <w:pStyle w:val="Text"/>
        <w:numPr>
          <w:ilvl w:val="0"/>
          <w:numId w:val="10"/>
        </w:numPr>
        <w:jc w:val="both"/>
        <w:rPr>
          <w:lang w:val="en-GB"/>
        </w:rPr>
      </w:pPr>
      <w:r>
        <w:rPr>
          <w:lang w:val="en-GB"/>
        </w:rPr>
        <w:t>Analysis of the finance inspection conducted by ENRON on September 18-20. Implementation of their recommendations.</w:t>
      </w:r>
    </w:p>
    <w:p>
      <w:pPr>
        <w:pStyle w:val="Text"/>
        <w:numPr>
          <w:ilvl w:val="0"/>
          <w:numId w:val="10"/>
        </w:numPr>
        <w:jc w:val="both"/>
        <w:rPr>
          <w:lang w:val="en-GB"/>
        </w:rPr>
      </w:pPr>
      <w:r>
        <w:rPr>
          <w:lang w:val="en-GB"/>
        </w:rPr>
        <w:t>Updating the budget for 2001, and adoption of a resolution to Supervisory Board (SB)for its approval.</w:t>
      </w:r>
    </w:p>
    <w:p>
      <w:pPr>
        <w:pStyle w:val="Text"/>
        <w:numPr>
          <w:ilvl w:val="0"/>
          <w:numId w:val="10"/>
        </w:numPr>
        <w:jc w:val="both"/>
        <w:rPr>
          <w:lang w:val="en-GB"/>
        </w:rPr>
      </w:pPr>
      <w:r>
        <w:rPr>
          <w:lang w:val="en-GB"/>
        </w:rPr>
        <w:t>Discussion of the draft budget for 2002.</w:t>
      </w:r>
    </w:p>
    <w:p>
      <w:pPr>
        <w:pStyle w:val="Text"/>
        <w:numPr>
          <w:ilvl w:val="0"/>
          <w:numId w:val="10"/>
        </w:numPr>
        <w:jc w:val="both"/>
        <w:rPr>
          <w:lang w:val="en-GB"/>
        </w:rPr>
      </w:pPr>
      <w:r>
        <w:rPr>
          <w:lang w:val="en-GB"/>
        </w:rPr>
        <w:t>Approval of the change of ENS organisation chart, and recommendation for its approval by SB.</w:t>
      </w:r>
    </w:p>
    <w:p>
      <w:pPr>
        <w:pStyle w:val="Text"/>
        <w:numPr>
          <w:ilvl w:val="0"/>
          <w:numId w:val="10"/>
        </w:numPr>
        <w:jc w:val="both"/>
        <w:rPr>
          <w:lang w:val="en-GB"/>
        </w:rPr>
      </w:pPr>
      <w:r>
        <w:rPr>
          <w:lang w:val="en-GB"/>
        </w:rPr>
        <w:t>Recommendation of some donation requests to SB for an approval during the next SB meeting.</w:t>
      </w:r>
    </w:p>
    <w:p>
      <w:pPr>
        <w:pStyle w:val="Text"/>
        <w:numPr>
          <w:ilvl w:val="0"/>
          <w:numId w:val="10"/>
        </w:numPr>
        <w:jc w:val="both"/>
        <w:rPr>
          <w:lang w:val="en-GB"/>
        </w:rPr>
      </w:pPr>
      <w:r>
        <w:rPr>
          <w:lang w:val="en-GB"/>
        </w:rPr>
        <w:t>Handing over the New Articles of Associations of ENS approved during the Shareholders Meeting on September 25, 2001.</w:t>
      </w:r>
    </w:p>
    <w:p>
      <w:pPr>
        <w:pStyle w:val="Text"/>
        <w:numPr>
          <w:ilvl w:val="0"/>
          <w:numId w:val="10"/>
        </w:numPr>
        <w:jc w:val="both"/>
        <w:rPr>
          <w:lang w:val="en-GB"/>
        </w:rPr>
      </w:pPr>
      <w:r>
        <w:rPr>
          <w:lang w:val="en-GB"/>
        </w:rPr>
        <w:t xml:space="preserve">Other.  </w:t>
      </w:r>
    </w:p>
    <w:p>
      <w:pPr>
        <w:pStyle w:val="Text"/>
        <w:ind w:hanging="0" w:end="0"/>
        <w:jc w:val="both"/>
        <w:rPr>
          <w:lang w:val="en-GB"/>
        </w:rPr>
      </w:pPr>
      <w:r>
        <w:rPr>
          <w:lang w:val="en-GB"/>
        </w:rPr>
      </w:r>
    </w:p>
    <w:p>
      <w:pPr>
        <w:pStyle w:val="BodyText"/>
        <w:tabs>
          <w:tab w:val="clear" w:pos="720"/>
          <w:tab w:val="clear" w:pos="1440"/>
          <w:tab w:val="clear" w:pos="2160"/>
          <w:tab w:val="clear" w:pos="2880"/>
          <w:tab w:val="clear" w:pos="3600"/>
          <w:tab w:val="clear" w:pos="4320"/>
        </w:tabs>
        <w:spacing w:before="0" w:after="240"/>
        <w:rPr>
          <w:lang w:val="en-GB"/>
        </w:rPr>
      </w:pPr>
      <w:r>
        <w:rPr>
          <w:lang w:val="en-GB"/>
        </w:rPr>
        <w:t xml:space="preserve">Ad 1. </w:t>
      </w:r>
    </w:p>
    <w:p>
      <w:pPr>
        <w:pStyle w:val="Normal"/>
        <w:spacing w:before="0" w:after="240"/>
        <w:jc w:val="both"/>
        <w:rPr>
          <w:lang w:val="en-GB"/>
        </w:rPr>
      </w:pPr>
      <w:r>
        <w:rPr>
          <w:lang w:val="en-GB"/>
        </w:rPr>
        <w:t xml:space="preserve">It was agreed that the next Board meetings would be held after submitting the monthly reports to General Manager (GM), together with the monthly finance closure by Finance Director (FD). The reports should be prepared within 4 business days of the month. </w:t>
      </w:r>
    </w:p>
    <w:p>
      <w:pPr>
        <w:pStyle w:val="Normal"/>
        <w:spacing w:before="0" w:after="240"/>
        <w:jc w:val="both"/>
        <w:rPr>
          <w:lang w:val="en-GB"/>
        </w:rPr>
      </w:pPr>
      <w:r>
        <w:rPr>
          <w:lang w:val="en-GB"/>
        </w:rPr>
        <w:t xml:space="preserve">The President of the Management Board summarised all actions during September. The power plant was running smoothly with 100% availability. Electrical energy production requirements were met, and heat production increased. There were intensive works before the EHS audit scheduled for October. The additional costs connected with this audit were being spent over a few months, so it was not necessary to update the budget. </w:t>
      </w:r>
    </w:p>
    <w:p>
      <w:pPr>
        <w:pStyle w:val="Normal"/>
        <w:spacing w:before="0" w:after="240"/>
        <w:jc w:val="both"/>
        <w:rPr>
          <w:lang w:val="en-GB"/>
        </w:rPr>
      </w:pPr>
      <w:r>
        <w:rPr>
          <w:lang w:val="en-GB"/>
        </w:rPr>
        <w:t xml:space="preserve">Many EHS procedures were produced and implemented. Also in September there was the planned outage at ENS, and the Cold Start Up Test was performed. Now we are waiting for an official approval by PSE. </w:t>
      </w:r>
    </w:p>
    <w:p>
      <w:pPr>
        <w:pStyle w:val="Normal"/>
        <w:spacing w:before="0" w:after="240"/>
        <w:jc w:val="both"/>
        <w:rPr>
          <w:lang w:val="en-GB"/>
        </w:rPr>
      </w:pPr>
      <w:r>
        <w:rPr>
          <w:lang w:val="en-GB"/>
        </w:rPr>
        <w:t xml:space="preserve">In September we submitted the bank model, and construction cost breakdown to PSE, in accordance with the requirements of PDA. The President presented also the issue connected with the electrical energy price paid by PSE. We are working on an answer to PSE with regard to their request of our position towards the NIK control conducted at PSE. The London lawyers are working on Annex No 7 to PDA, with reference to the banks requirements. </w:t>
      </w:r>
    </w:p>
    <w:p>
      <w:pPr>
        <w:pStyle w:val="Normal"/>
        <w:spacing w:before="0" w:after="240"/>
        <w:jc w:val="both"/>
        <w:rPr>
          <w:lang w:val="en-GB"/>
        </w:rPr>
      </w:pPr>
      <w:r>
        <w:rPr>
          <w:lang w:val="en-GB"/>
        </w:rPr>
        <w:t xml:space="preserve">One of the most important issues last month was Final Completion. EECC did not fulfil the contractual obligation with regard to CO emission, therefore we asked the banks to extend the Final Completion deadline  up till 30 November 2001. We are waiting for an official approval. </w:t>
      </w:r>
    </w:p>
    <w:p>
      <w:pPr>
        <w:pStyle w:val="Normal"/>
        <w:spacing w:before="0" w:after="240"/>
        <w:jc w:val="both"/>
        <w:rPr>
          <w:lang w:val="en-GB"/>
        </w:rPr>
      </w:pPr>
      <w:r>
        <w:rPr>
          <w:lang w:val="en-GB"/>
        </w:rPr>
        <w:t xml:space="preserve">In September we were working on our heat tariff application and our responses to ERA. </w:t>
      </w:r>
    </w:p>
    <w:p>
      <w:pPr>
        <w:pStyle w:val="Normal"/>
        <w:spacing w:before="0" w:after="240"/>
        <w:jc w:val="both"/>
        <w:rPr>
          <w:lang w:val="en-GB"/>
        </w:rPr>
      </w:pPr>
      <w:r>
        <w:rPr>
          <w:lang w:val="en-GB"/>
        </w:rPr>
        <w:t>Ad. 2.</w:t>
      </w:r>
    </w:p>
    <w:p>
      <w:pPr>
        <w:pStyle w:val="Normal"/>
        <w:spacing w:before="0" w:after="240"/>
        <w:jc w:val="both"/>
        <w:rPr>
          <w:lang w:val="en-GB"/>
        </w:rPr>
      </w:pPr>
      <w:r>
        <w:rPr>
          <w:lang w:val="en-GB"/>
        </w:rPr>
        <w:t xml:space="preserve">The Finance Inspection Report was discussed. </w:t>
      </w:r>
    </w:p>
    <w:p>
      <w:pPr>
        <w:pStyle w:val="Normal"/>
        <w:spacing w:before="0" w:after="240"/>
        <w:jc w:val="both"/>
        <w:rPr>
          <w:lang w:val="en-GB"/>
        </w:rPr>
      </w:pPr>
      <w:r>
        <w:rPr>
          <w:lang w:val="en-GB"/>
        </w:rPr>
        <w:t xml:space="preserve">It was agreed upon that the finance department work should be formalised. FD stated that his department was working upon appropriate procedures, in accordance with ENRON requirements, i.e. procedure for purchase of goods and services; procedure of business travels payment handling; procedure for donations; procedure for preparing, approval and controlling of the budget; inventory procedure. All these procedures will be presented to GM for his approval and internal implementation during the next MB meeting. Moreover, there is a need for finance department to be reorganised in such a way, that at least two people are qualified and trained for conducting each finance duties (calculations etc.) – responsible FD. </w:t>
      </w:r>
    </w:p>
    <w:p>
      <w:pPr>
        <w:pStyle w:val="Normal"/>
        <w:spacing w:before="0" w:after="240"/>
        <w:jc w:val="both"/>
        <w:rPr>
          <w:lang w:val="en-GB"/>
        </w:rPr>
      </w:pPr>
      <w:r>
        <w:rPr>
          <w:lang w:val="en-GB"/>
        </w:rPr>
        <w:t xml:space="preserve">The MB decided that the compliance manual should be prepared for all purchase/ supply agreements at ENS, specially for the following agreements: PDA, FSA, SSA, and TESA, – Plan Manager and FD are responsible. MB will approve it during their next meeting. </w:t>
      </w:r>
    </w:p>
    <w:p>
      <w:pPr>
        <w:pStyle w:val="BodyText"/>
        <w:tabs>
          <w:tab w:val="clear" w:pos="720"/>
          <w:tab w:val="clear" w:pos="1440"/>
          <w:tab w:val="clear" w:pos="2160"/>
          <w:tab w:val="clear" w:pos="2880"/>
          <w:tab w:val="clear" w:pos="3600"/>
          <w:tab w:val="clear" w:pos="4320"/>
        </w:tabs>
        <w:spacing w:before="0" w:after="240"/>
        <w:rPr>
          <w:lang w:val="en-GB"/>
        </w:rPr>
      </w:pPr>
      <w:r>
        <w:rPr>
          <w:lang w:val="en-GB"/>
        </w:rPr>
        <w:t>Ad. 3.</w:t>
      </w:r>
    </w:p>
    <w:p>
      <w:pPr>
        <w:pStyle w:val="Normal"/>
        <w:spacing w:before="0" w:after="240"/>
        <w:jc w:val="both"/>
        <w:rPr>
          <w:lang w:val="en-GB"/>
        </w:rPr>
      </w:pPr>
      <w:r>
        <w:rPr>
          <w:lang w:val="en-GB"/>
        </w:rPr>
        <w:t>The Supervisory Board approved the ENS O&amp;M budget for 2001 during the meeting on November 30, 2000, for the amount of USD 4.733 thousand. But during the year 2001 new budgetary positions were created and some of the existing ones increased highly. The following new cost positions were introduced into the budget update:</w:t>
      </w:r>
    </w:p>
    <w:p>
      <w:pPr>
        <w:pStyle w:val="Normal"/>
        <w:numPr>
          <w:ilvl w:val="0"/>
          <w:numId w:val="5"/>
        </w:numPr>
        <w:spacing w:before="0" w:after="240"/>
        <w:jc w:val="both"/>
        <w:rPr>
          <w:lang w:val="en-GB"/>
        </w:rPr>
      </w:pPr>
      <w:r>
        <w:rPr>
          <w:i/>
          <w:lang w:val="en-GB"/>
        </w:rPr>
        <w:t>Organika heat transmission</w:t>
      </w:r>
      <w:r>
        <w:rPr>
          <w:lang w:val="en-GB"/>
        </w:rPr>
        <w:t xml:space="preserve"> – on June 1, 2001 ENS signed a Transmission Services Agreement with Organika for using their transmission lines for transmission of the heat produced for the City of Nowa Sarzyna.</w:t>
      </w:r>
    </w:p>
    <w:p>
      <w:pPr>
        <w:pStyle w:val="Normal"/>
        <w:numPr>
          <w:ilvl w:val="0"/>
          <w:numId w:val="5"/>
        </w:numPr>
        <w:spacing w:before="0" w:after="240"/>
        <w:jc w:val="both"/>
        <w:rPr>
          <w:lang w:val="en-GB"/>
        </w:rPr>
      </w:pPr>
      <w:r>
        <w:rPr>
          <w:i/>
          <w:lang w:val="en-GB"/>
        </w:rPr>
        <w:t>Site security</w:t>
      </w:r>
      <w:r>
        <w:rPr>
          <w:lang w:val="en-GB"/>
        </w:rPr>
        <w:t xml:space="preserve"> – from January 1, 2001 the Facility is protected and guarded by a company called SKARBIEC, which hired all 5 security guards, who were employed by ENS before. That company has all the legally required certificates for assets protection, which ENS does not  posses.</w:t>
      </w:r>
    </w:p>
    <w:p>
      <w:pPr>
        <w:pStyle w:val="Normal"/>
        <w:numPr>
          <w:ilvl w:val="0"/>
          <w:numId w:val="5"/>
        </w:numPr>
        <w:spacing w:before="0" w:after="240"/>
        <w:jc w:val="both"/>
        <w:rPr>
          <w:lang w:val="en-GB"/>
        </w:rPr>
      </w:pPr>
      <w:r>
        <w:rPr>
          <w:i/>
          <w:lang w:val="en-GB"/>
        </w:rPr>
        <w:t xml:space="preserve">Landscaping maintenance </w:t>
      </w:r>
      <w:r>
        <w:rPr>
          <w:lang w:val="en-GB"/>
        </w:rPr>
        <w:t>– on March 29, 2001 ENS signed a contract with a firm called „JES” for landscaping maintenance of the ENS area.</w:t>
      </w:r>
    </w:p>
    <w:p>
      <w:pPr>
        <w:pStyle w:val="Normal"/>
        <w:numPr>
          <w:ilvl w:val="0"/>
          <w:numId w:val="5"/>
        </w:numPr>
        <w:spacing w:before="0" w:after="240"/>
        <w:jc w:val="both"/>
        <w:rPr>
          <w:lang w:val="en-GB"/>
        </w:rPr>
      </w:pPr>
      <w:r>
        <w:rPr>
          <w:i/>
          <w:lang w:val="en-GB"/>
        </w:rPr>
        <w:t>Donations –</w:t>
      </w:r>
      <w:r>
        <w:rPr>
          <w:lang w:val="en-GB"/>
        </w:rPr>
        <w:t xml:space="preserve"> this position was not in the budget.</w:t>
      </w:r>
    </w:p>
    <w:p>
      <w:pPr>
        <w:pStyle w:val="Normal"/>
        <w:numPr>
          <w:ilvl w:val="0"/>
          <w:numId w:val="5"/>
        </w:numPr>
        <w:spacing w:before="0" w:after="240"/>
        <w:jc w:val="both"/>
        <w:rPr>
          <w:lang w:val="en-GB"/>
        </w:rPr>
      </w:pPr>
      <w:r>
        <w:rPr>
          <w:i/>
          <w:lang w:val="en-GB"/>
        </w:rPr>
        <w:t>Employees’ Social Fund –</w:t>
      </w:r>
      <w:r>
        <w:rPr>
          <w:lang w:val="en-GB"/>
        </w:rPr>
        <w:t xml:space="preserve"> ENS is obliged by law to create a social fund for the employees, in accordance to the Act dated March 4, 1994 about the social firms’ funds, not in the budget.</w:t>
      </w:r>
    </w:p>
    <w:p>
      <w:pPr>
        <w:pStyle w:val="Normal"/>
        <w:numPr>
          <w:ilvl w:val="0"/>
          <w:numId w:val="5"/>
        </w:numPr>
        <w:spacing w:before="0" w:after="240"/>
        <w:jc w:val="both"/>
        <w:rPr>
          <w:lang w:val="en-GB"/>
        </w:rPr>
      </w:pPr>
      <w:r>
        <w:rPr>
          <w:i/>
          <w:lang w:val="en-GB"/>
        </w:rPr>
        <w:t>EHS Audit –</w:t>
      </w:r>
      <w:r>
        <w:rPr>
          <w:lang w:val="en-GB"/>
        </w:rPr>
        <w:t xml:space="preserve"> the cost of the audit was not in the budget (accommodation, food, transportation etc.).</w:t>
      </w:r>
    </w:p>
    <w:p>
      <w:pPr>
        <w:pStyle w:val="Normal"/>
        <w:spacing w:before="0" w:after="240"/>
        <w:jc w:val="both"/>
        <w:rPr>
          <w:lang w:val="en-GB"/>
        </w:rPr>
      </w:pPr>
      <w:r>
        <w:rPr>
          <w:lang w:val="en-GB"/>
        </w:rPr>
        <w:t>The budget for 2001 increased because of the high expenses paid for:</w:t>
      </w:r>
    </w:p>
    <w:p>
      <w:pPr>
        <w:pStyle w:val="Normal"/>
        <w:numPr>
          <w:ilvl w:val="0"/>
          <w:numId w:val="11"/>
        </w:numPr>
        <w:spacing w:before="0" w:after="240"/>
        <w:jc w:val="both"/>
        <w:rPr>
          <w:lang w:val="en-GB"/>
        </w:rPr>
      </w:pPr>
      <w:r>
        <w:rPr>
          <w:i/>
          <w:lang w:val="en-GB"/>
        </w:rPr>
        <w:t>Legal advice by White &amp; Case and CMC Cameron McKenna –</w:t>
      </w:r>
      <w:r>
        <w:rPr>
          <w:lang w:val="en-GB"/>
        </w:rPr>
        <w:t xml:space="preserve"> all problems occurred in 2001 in connections with PDA, FSA and other contracts, as well as the case in court against the President of ERA, impose on ENS a burden in getting legal advice from the lawyers. The cost increased from USD 84 thousand to USD 254 thousand by the end of the year. </w:t>
      </w:r>
    </w:p>
    <w:p>
      <w:pPr>
        <w:pStyle w:val="Normal"/>
        <w:numPr>
          <w:ilvl w:val="0"/>
          <w:numId w:val="11"/>
        </w:numPr>
        <w:spacing w:before="0" w:after="240"/>
        <w:jc w:val="both"/>
        <w:rPr>
          <w:lang w:val="en-GB"/>
        </w:rPr>
      </w:pPr>
      <w:r>
        <w:rPr>
          <w:i/>
          <w:lang w:val="en-GB"/>
        </w:rPr>
        <w:t xml:space="preserve">Social insurance for employees – </w:t>
      </w:r>
      <w:r>
        <w:rPr>
          <w:lang w:val="en-GB"/>
        </w:rPr>
        <w:t>wrong calculation of the social security tax.</w:t>
      </w:r>
    </w:p>
    <w:p>
      <w:pPr>
        <w:pStyle w:val="Normal"/>
        <w:numPr>
          <w:ilvl w:val="0"/>
          <w:numId w:val="11"/>
        </w:numPr>
        <w:spacing w:before="0" w:after="240"/>
        <w:jc w:val="both"/>
        <w:rPr>
          <w:lang w:val="en-GB"/>
        </w:rPr>
      </w:pPr>
      <w:r>
        <w:rPr>
          <w:i/>
          <w:lang w:val="en-GB"/>
        </w:rPr>
        <w:t>Plant insurance –</w:t>
      </w:r>
      <w:r>
        <w:rPr>
          <w:lang w:val="en-GB"/>
        </w:rPr>
        <w:t xml:space="preserve"> due to the turbine rotor replacement in April – May 2001 ENS paid an insurance for the new rotor transportation. It cost over USD 80 thousand. From June 1, 2001 the Facility insurance increased heavily.</w:t>
      </w:r>
    </w:p>
    <w:p>
      <w:pPr>
        <w:pStyle w:val="Normal"/>
        <w:numPr>
          <w:ilvl w:val="0"/>
          <w:numId w:val="11"/>
        </w:numPr>
        <w:spacing w:before="0" w:after="240"/>
        <w:jc w:val="both"/>
        <w:rPr>
          <w:lang w:val="en-GB"/>
        </w:rPr>
      </w:pPr>
      <w:r>
        <w:rPr>
          <w:i/>
          <w:lang w:val="en-GB"/>
        </w:rPr>
        <w:t>Ground rent –</w:t>
      </w:r>
      <w:r>
        <w:rPr>
          <w:lang w:val="en-GB"/>
        </w:rPr>
        <w:t xml:space="preserve"> from January 1, 2001 a new Act was implemented with regard to the local taxes, and it was introduced as an extra tax on buildings and assets used directly for electricity and heat production. </w:t>
      </w:r>
    </w:p>
    <w:p>
      <w:pPr>
        <w:pStyle w:val="BodyText"/>
        <w:tabs>
          <w:tab w:val="clear" w:pos="720"/>
          <w:tab w:val="clear" w:pos="1440"/>
          <w:tab w:val="clear" w:pos="2160"/>
          <w:tab w:val="clear" w:pos="2880"/>
          <w:tab w:val="clear" w:pos="3600"/>
          <w:tab w:val="clear" w:pos="4320"/>
        </w:tabs>
        <w:spacing w:before="0" w:after="240"/>
        <w:rPr>
          <w:lang w:val="en-GB"/>
        </w:rPr>
      </w:pPr>
      <w:r>
        <w:rPr>
          <w:lang w:val="en-GB"/>
        </w:rPr>
        <w:t xml:space="preserve">The budget updating is attached as an Attachment No 1. </w:t>
      </w:r>
    </w:p>
    <w:p>
      <w:pPr>
        <w:pStyle w:val="BodyText"/>
        <w:tabs>
          <w:tab w:val="clear" w:pos="720"/>
          <w:tab w:val="clear" w:pos="1440"/>
          <w:tab w:val="clear" w:pos="2160"/>
          <w:tab w:val="clear" w:pos="2880"/>
          <w:tab w:val="clear" w:pos="3600"/>
          <w:tab w:val="clear" w:pos="4320"/>
        </w:tabs>
        <w:spacing w:before="0" w:after="240"/>
        <w:rPr>
          <w:lang w:val="en-GB"/>
        </w:rPr>
      </w:pPr>
      <w:r>
        <w:rPr>
          <w:lang w:val="en-GB"/>
        </w:rPr>
        <w:t xml:space="preserve">Additionally, because the original O&amp;M budget did not have any investment expenses (fixed assets purchase) the Management Board applies for the creation of an investment budget for 2001 for computer purchases ($ 32.000) and the construction of a technical gas storage building ($ 25.000). </w:t>
      </w:r>
    </w:p>
    <w:p>
      <w:pPr>
        <w:pStyle w:val="BodyText"/>
        <w:tabs>
          <w:tab w:val="clear" w:pos="720"/>
          <w:tab w:val="clear" w:pos="1440"/>
          <w:tab w:val="clear" w:pos="2160"/>
          <w:tab w:val="clear" w:pos="2880"/>
          <w:tab w:val="clear" w:pos="3600"/>
          <w:tab w:val="clear" w:pos="4320"/>
        </w:tabs>
        <w:spacing w:before="0" w:after="240"/>
        <w:rPr>
          <w:lang w:val="en-GB"/>
        </w:rPr>
      </w:pPr>
      <w:r>
        <w:rPr>
          <w:lang w:val="en-GB"/>
        </w:rPr>
      </w:r>
    </w:p>
    <w:p>
      <w:pPr>
        <w:pStyle w:val="Normal"/>
        <w:spacing w:before="0" w:after="240"/>
        <w:jc w:val="both"/>
        <w:rPr>
          <w:lang w:val="en-GB"/>
        </w:rPr>
      </w:pPr>
      <w:r>
        <w:rPr>
          <w:lang w:val="en-GB"/>
        </w:rPr>
        <w:t>Ad. 4.</w:t>
      </w:r>
    </w:p>
    <w:p>
      <w:pPr>
        <w:pStyle w:val="Normal"/>
        <w:spacing w:before="0" w:after="240"/>
        <w:jc w:val="both"/>
        <w:rPr>
          <w:lang w:val="en-GB"/>
        </w:rPr>
      </w:pPr>
      <w:r>
        <w:rPr>
          <w:lang w:val="en-GB"/>
        </w:rPr>
        <w:t>FD handed over a draft for the budget for 2002 with its full documentation. It will be reviewed by the Plant Manager and again by FD, and than approved by the Board during the next meeting.</w:t>
      </w:r>
    </w:p>
    <w:p>
      <w:pPr>
        <w:pStyle w:val="Normal"/>
        <w:spacing w:before="0" w:after="240"/>
        <w:jc w:val="both"/>
        <w:rPr>
          <w:lang w:val="en-GB"/>
        </w:rPr>
      </w:pPr>
      <w:r>
        <w:rPr>
          <w:lang w:val="en-GB"/>
        </w:rPr>
        <w:t>Ad. 5.</w:t>
      </w:r>
    </w:p>
    <w:p>
      <w:pPr>
        <w:pStyle w:val="Normal"/>
        <w:spacing w:before="0" w:after="240"/>
        <w:jc w:val="both"/>
        <w:rPr>
          <w:lang w:val="en-GB"/>
        </w:rPr>
      </w:pPr>
      <w:r>
        <w:rPr>
          <w:lang w:val="en-GB"/>
        </w:rPr>
        <w:t xml:space="preserve">In accordance to the financial control recommendations the administration department will be supervised by the Finance Director. </w:t>
      </w:r>
    </w:p>
    <w:p>
      <w:pPr>
        <w:pStyle w:val="Normal"/>
        <w:spacing w:before="0" w:after="240"/>
        <w:jc w:val="both"/>
        <w:rPr/>
      </w:pPr>
      <w:r>
        <w:rPr>
          <w:lang w:val="en-GB"/>
        </w:rPr>
        <w:t xml:space="preserve">Moreover, the Management Board  sees an urgent need for creating a new post at ENS, i.e. a position of </w:t>
      </w:r>
      <w:r>
        <w:rPr>
          <w:i/>
          <w:lang w:val="en-GB"/>
        </w:rPr>
        <w:t>EHS &amp; Maintenance Co-ordinator</w:t>
      </w:r>
      <w:r>
        <w:rPr>
          <w:lang w:val="en-GB"/>
        </w:rPr>
        <w:t>, who would be in charge of the following issues: environment protection, GUS reporting (Main Statistical Office), production planning, maintenance and outage planning, electricity and heat calculations. The details of his duties are attached as an Attachment No 2, a new organisation chart as Attachment No3.</w:t>
      </w:r>
    </w:p>
    <w:p>
      <w:pPr>
        <w:pStyle w:val="BodyText"/>
        <w:tabs>
          <w:tab w:val="clear" w:pos="720"/>
          <w:tab w:val="clear" w:pos="1440"/>
          <w:tab w:val="clear" w:pos="2160"/>
          <w:tab w:val="clear" w:pos="2880"/>
          <w:tab w:val="clear" w:pos="3600"/>
          <w:tab w:val="clear" w:pos="4320"/>
        </w:tabs>
        <w:spacing w:before="0" w:after="240"/>
        <w:rPr>
          <w:lang w:val="en-GB"/>
        </w:rPr>
      </w:pPr>
      <w:r>
        <w:rPr>
          <w:lang w:val="en-GB"/>
        </w:rPr>
        <w:t xml:space="preserve">Ad. 6. </w:t>
      </w:r>
    </w:p>
    <w:p>
      <w:pPr>
        <w:pStyle w:val="Normal"/>
        <w:spacing w:before="0" w:after="240"/>
        <w:jc w:val="both"/>
        <w:rPr/>
      </w:pPr>
      <w:r>
        <w:rPr>
          <w:lang w:val="en-GB"/>
        </w:rPr>
        <w:t>During the last couple of months five donation requests were sent to ENS. MB recommends to SB approval of requests for the following institutions:</w:t>
      </w:r>
    </w:p>
    <w:p>
      <w:pPr>
        <w:pStyle w:val="Normal"/>
        <w:numPr>
          <w:ilvl w:val="0"/>
          <w:numId w:val="3"/>
        </w:numPr>
        <w:spacing w:before="0" w:after="240"/>
        <w:jc w:val="both"/>
        <w:rPr>
          <w:lang w:val="en-GB"/>
        </w:rPr>
      </w:pPr>
      <w:r>
        <w:rPr>
          <w:lang w:val="en-GB"/>
        </w:rPr>
        <w:t>Komendy Powiatowej Policji w Leżajsku (Poviat Police Headquarters) – financial support for public safety; amount: 1.500 PLN;</w:t>
      </w:r>
    </w:p>
    <w:p>
      <w:pPr>
        <w:pStyle w:val="Normal"/>
        <w:numPr>
          <w:ilvl w:val="0"/>
          <w:numId w:val="3"/>
        </w:numPr>
        <w:spacing w:before="0" w:after="240"/>
        <w:jc w:val="both"/>
        <w:rPr>
          <w:lang w:val="en-GB"/>
        </w:rPr>
      </w:pPr>
      <w:r>
        <w:rPr>
          <w:lang w:val="en-GB"/>
        </w:rPr>
        <w:t>Stowarzyszenia Rodziców Dzieci Niepełnosprawnych w Sarzynie (Association of the Disabled Children’ Parents in Sarzyna) – donation for minibus purchase for the needs of the local disabled children care house; amount: 4.000PLN; and</w:t>
      </w:r>
    </w:p>
    <w:p>
      <w:pPr>
        <w:pStyle w:val="Normal"/>
        <w:numPr>
          <w:ilvl w:val="0"/>
          <w:numId w:val="3"/>
        </w:numPr>
        <w:spacing w:before="0" w:after="240"/>
        <w:jc w:val="both"/>
        <w:rPr>
          <w:lang w:val="en-GB"/>
        </w:rPr>
      </w:pPr>
      <w:r>
        <w:rPr>
          <w:lang w:val="en-GB"/>
        </w:rPr>
        <w:t>Poradni Psychologiczno – Pedagogicznej w Leżajsku (Psychological and Pedagogical Counselling Centre)– financial support for issuing the “Parental guidance”; amount: 1.000 PLN.</w:t>
      </w:r>
    </w:p>
    <w:p>
      <w:pPr>
        <w:pStyle w:val="Normal"/>
        <w:spacing w:before="0" w:after="240"/>
        <w:jc w:val="both"/>
        <w:rPr>
          <w:lang w:val="en-GB"/>
        </w:rPr>
      </w:pPr>
      <w:r>
        <w:rPr>
          <w:lang w:val="en-GB"/>
        </w:rPr>
        <w:t>All these requests will be submitted to the PR in London  for their approval and perhaps some feedback with regard to some advertisement requirements.</w:t>
      </w:r>
    </w:p>
    <w:p>
      <w:pPr>
        <w:pStyle w:val="Normal"/>
        <w:spacing w:before="0" w:after="240"/>
        <w:jc w:val="both"/>
        <w:rPr>
          <w:lang w:val="en-GB"/>
        </w:rPr>
      </w:pPr>
      <w:r>
        <w:rPr>
          <w:lang w:val="en-GB"/>
        </w:rPr>
        <w:t>Ad. 7.</w:t>
      </w:r>
    </w:p>
    <w:p>
      <w:pPr>
        <w:pStyle w:val="Normal"/>
        <w:spacing w:before="0" w:after="240"/>
        <w:jc w:val="both"/>
        <w:rPr>
          <w:lang w:val="en-GB"/>
        </w:rPr>
      </w:pPr>
      <w:r>
        <w:rPr>
          <w:lang w:val="en-GB"/>
        </w:rPr>
        <w:t xml:space="preserve">The President of the Management Board submitted to the Board Members the New Articles of Associations of ENS approved during the Shareholders Meeting on September 25, 2001. </w:t>
      </w:r>
    </w:p>
    <w:p>
      <w:pPr>
        <w:pStyle w:val="Normal"/>
        <w:spacing w:before="0" w:after="240"/>
        <w:jc w:val="both"/>
        <w:rPr>
          <w:lang w:val="en-GB"/>
        </w:rPr>
      </w:pPr>
      <w:r>
        <w:rPr>
          <w:lang w:val="en-GB"/>
        </w:rPr>
        <w:t>Ad. 8.</w:t>
      </w:r>
    </w:p>
    <w:p>
      <w:pPr>
        <w:pStyle w:val="Normal"/>
        <w:spacing w:before="0" w:after="240"/>
        <w:jc w:val="both"/>
        <w:rPr>
          <w:lang w:val="en-GB"/>
        </w:rPr>
      </w:pPr>
      <w:r>
        <w:rPr>
          <w:lang w:val="en-GB"/>
        </w:rPr>
        <w:t>There were no other items during the meeting.</w:t>
      </w:r>
    </w:p>
    <w:p>
      <w:pPr>
        <w:pStyle w:val="Text"/>
        <w:ind w:hanging="0" w:end="0"/>
        <w:jc w:val="both"/>
        <w:rPr>
          <w:lang w:val="en-GB"/>
        </w:rPr>
      </w:pPr>
      <w:r>
        <w:rPr>
          <w:lang w:val="en-GB"/>
        </w:rPr>
        <w:t>The President of the Management Board requested that votes be held with respect to the following resolutions:</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Text"/>
        <w:ind w:hanging="0" w:end="0"/>
        <w:jc w:val="center"/>
        <w:rPr>
          <w:b/>
          <w:u w:val="single"/>
          <w:lang w:val="en-GB"/>
        </w:rPr>
      </w:pPr>
      <w:r>
        <w:rPr>
          <w:b/>
          <w:u w:val="single"/>
          <w:lang w:val="en-GB"/>
        </w:rPr>
        <w:t>RESOLUTION NO. 3/2001</w:t>
      </w:r>
    </w:p>
    <w:p>
      <w:pPr>
        <w:pStyle w:val="Text"/>
        <w:ind w:hanging="0" w:end="0"/>
        <w:jc w:val="center"/>
        <w:rPr>
          <w:b/>
          <w:u w:val="single"/>
          <w:lang w:val="en-GB"/>
        </w:rPr>
      </w:pPr>
      <w:r>
        <w:rPr>
          <w:b/>
          <w:u w:val="single"/>
          <w:lang w:val="en-GB"/>
        </w:rPr>
      </w:r>
    </w:p>
    <w:p>
      <w:pPr>
        <w:pStyle w:val="BodyText"/>
        <w:spacing w:before="0" w:after="0"/>
        <w:rPr>
          <w:b/>
          <w:lang w:val="en-GB"/>
        </w:rPr>
      </w:pPr>
      <w:r>
        <w:rPr>
          <w:lang w:val="en-GB"/>
        </w:rPr>
        <w:t>„</w:t>
      </w:r>
      <w:r>
        <w:rPr>
          <w:lang w:val="en-GB"/>
        </w:rPr>
        <w:t>The Management Board hereby proposes to update the budget for 2001 with the following costs position:</w:t>
      </w:r>
    </w:p>
    <w:p>
      <w:pPr>
        <w:pStyle w:val="Normal"/>
        <w:spacing w:before="0" w:after="240"/>
        <w:jc w:val="both"/>
        <w:rPr>
          <w:b/>
          <w:lang w:val="en-GB"/>
        </w:rPr>
      </w:pPr>
      <w:r>
        <w:rPr>
          <w:b/>
          <w:lang w:val="en-GB"/>
        </w:rPr>
      </w:r>
    </w:p>
    <w:p>
      <w:pPr>
        <w:pStyle w:val="Normal"/>
        <w:numPr>
          <w:ilvl w:val="0"/>
          <w:numId w:val="14"/>
        </w:numPr>
        <w:ind w:hanging="357" w:start="357" w:end="0"/>
        <w:jc w:val="both"/>
        <w:rPr>
          <w:lang w:val="en-GB"/>
        </w:rPr>
      </w:pPr>
      <w:r>
        <w:rPr>
          <w:i/>
          <w:lang w:val="en-GB"/>
        </w:rPr>
        <w:t>Organika heat transmission;</w:t>
      </w:r>
    </w:p>
    <w:p>
      <w:pPr>
        <w:pStyle w:val="Normal"/>
        <w:numPr>
          <w:ilvl w:val="0"/>
          <w:numId w:val="14"/>
        </w:numPr>
        <w:ind w:hanging="357" w:start="357" w:end="0"/>
        <w:jc w:val="both"/>
        <w:rPr>
          <w:lang w:val="en-GB"/>
        </w:rPr>
      </w:pPr>
      <w:r>
        <w:rPr>
          <w:i/>
          <w:lang w:val="en-GB"/>
        </w:rPr>
        <w:t>Site security;</w:t>
      </w:r>
    </w:p>
    <w:p>
      <w:pPr>
        <w:pStyle w:val="Normal"/>
        <w:numPr>
          <w:ilvl w:val="0"/>
          <w:numId w:val="14"/>
        </w:numPr>
        <w:ind w:hanging="357" w:start="357" w:end="0"/>
        <w:jc w:val="both"/>
        <w:rPr>
          <w:lang w:val="en-GB"/>
        </w:rPr>
      </w:pPr>
      <w:r>
        <w:rPr>
          <w:i/>
          <w:lang w:val="en-GB"/>
        </w:rPr>
        <w:t>Landscaping maintenance</w:t>
      </w:r>
      <w:r>
        <w:rPr>
          <w:lang w:val="en-GB"/>
        </w:rPr>
        <w:t>;</w:t>
      </w:r>
    </w:p>
    <w:p>
      <w:pPr>
        <w:pStyle w:val="Normal"/>
        <w:numPr>
          <w:ilvl w:val="0"/>
          <w:numId w:val="14"/>
        </w:numPr>
        <w:ind w:hanging="357" w:start="357" w:end="0"/>
        <w:jc w:val="both"/>
        <w:rPr>
          <w:lang w:val="en-GB"/>
        </w:rPr>
      </w:pPr>
      <w:r>
        <w:rPr>
          <w:i/>
          <w:lang w:val="en-GB"/>
        </w:rPr>
        <w:t>Donations</w:t>
      </w:r>
      <w:r>
        <w:rPr>
          <w:lang w:val="en-GB"/>
        </w:rPr>
        <w:t>;</w:t>
      </w:r>
    </w:p>
    <w:p>
      <w:pPr>
        <w:pStyle w:val="Normal"/>
        <w:numPr>
          <w:ilvl w:val="0"/>
          <w:numId w:val="14"/>
        </w:numPr>
        <w:ind w:hanging="357" w:start="357" w:end="0"/>
        <w:jc w:val="both"/>
        <w:rPr>
          <w:lang w:val="en-GB"/>
        </w:rPr>
      </w:pPr>
      <w:r>
        <w:rPr>
          <w:i/>
          <w:lang w:val="en-GB"/>
        </w:rPr>
        <w:t>Employees’ Social Fund;</w:t>
      </w:r>
    </w:p>
    <w:p>
      <w:pPr>
        <w:pStyle w:val="Normal"/>
        <w:numPr>
          <w:ilvl w:val="0"/>
          <w:numId w:val="14"/>
        </w:numPr>
        <w:spacing w:before="0" w:after="240"/>
        <w:jc w:val="both"/>
        <w:rPr>
          <w:lang w:val="en-GB"/>
        </w:rPr>
      </w:pPr>
      <w:r>
        <w:rPr>
          <w:i/>
          <w:lang w:val="en-GB"/>
        </w:rPr>
        <w:t>EHS Audit.</w:t>
      </w:r>
    </w:p>
    <w:p>
      <w:pPr>
        <w:pStyle w:val="Normal"/>
        <w:spacing w:before="0" w:after="240"/>
        <w:jc w:val="both"/>
        <w:rPr>
          <w:lang w:val="en-GB"/>
        </w:rPr>
      </w:pPr>
      <w:r>
        <w:rPr>
          <w:lang w:val="en-GB"/>
        </w:rPr>
        <w:t xml:space="preserve">And increase some other budgetary positions-items as it is presented in the updated budget for 2001, attached as Attachment No 1.   </w:t>
      </w:r>
    </w:p>
    <w:p>
      <w:pPr>
        <w:pStyle w:val="BodyText"/>
        <w:tabs>
          <w:tab w:val="clear" w:pos="720"/>
          <w:tab w:val="clear" w:pos="1440"/>
          <w:tab w:val="clear" w:pos="2160"/>
          <w:tab w:val="clear" w:pos="2880"/>
          <w:tab w:val="clear" w:pos="3600"/>
          <w:tab w:val="clear" w:pos="4320"/>
        </w:tabs>
        <w:spacing w:before="0" w:after="240"/>
        <w:rPr>
          <w:lang w:val="en-GB"/>
        </w:rPr>
      </w:pPr>
      <w:r>
        <w:rPr>
          <w:lang w:val="en-GB"/>
        </w:rPr>
        <w:t>ENS budget for 2001 will be increased from the amount of USD 4.733 thousand to USD 5.438 thousand.</w:t>
      </w:r>
    </w:p>
    <w:p>
      <w:pPr>
        <w:pStyle w:val="Text"/>
        <w:ind w:hanging="0" w:end="0"/>
        <w:jc w:val="both"/>
        <w:rPr>
          <w:lang w:val="en-GB"/>
        </w:rPr>
      </w:pPr>
      <w:r>
        <w:rPr>
          <w:lang w:val="en-GB"/>
        </w:rPr>
        <w:t>The Management Board applies for the creation of an investment budget for 2001 for computer purchases and the construction of a technical gas storage building, total amount: USD 57.000.”</w:t>
      </w:r>
    </w:p>
    <w:p>
      <w:pPr>
        <w:pStyle w:val="Text"/>
        <w:ind w:hanging="0" w:end="0"/>
        <w:jc w:val="both"/>
        <w:rPr>
          <w:lang w:val="en-US"/>
        </w:rPr>
      </w:pPr>
      <w:r>
        <w:rPr>
          <w:lang w:val="en-US"/>
        </w:rPr>
        <w:t>The resolution was adopted unanimously.</w:t>
      </w:r>
    </w:p>
    <w:p>
      <w:pPr>
        <w:pStyle w:val="Text"/>
        <w:ind w:hanging="0" w:end="0"/>
        <w:jc w:val="center"/>
        <w:rPr>
          <w:b/>
          <w:u w:val="single"/>
          <w:lang w:val="en-GB"/>
        </w:rPr>
      </w:pPr>
      <w:r>
        <w:rPr>
          <w:b/>
          <w:u w:val="single"/>
          <w:lang w:val="en-GB"/>
        </w:rPr>
        <w:t>RESOLUTION NO. 4/2001</w:t>
      </w:r>
    </w:p>
    <w:p>
      <w:pPr>
        <w:pStyle w:val="Text"/>
        <w:ind w:hanging="0" w:end="0"/>
        <w:jc w:val="center"/>
        <w:rPr>
          <w:b/>
          <w:u w:val="single"/>
          <w:lang w:val="en-GB"/>
        </w:rPr>
      </w:pPr>
      <w:r>
        <w:rPr>
          <w:b/>
          <w:u w:val="single"/>
          <w:lang w:val="en-GB"/>
        </w:rPr>
      </w:r>
    </w:p>
    <w:p>
      <w:pPr>
        <w:pStyle w:val="Normal"/>
        <w:spacing w:before="0" w:after="240"/>
        <w:jc w:val="both"/>
        <w:rPr>
          <w:lang w:val="en-GB"/>
        </w:rPr>
      </w:pPr>
      <w:r>
        <w:rPr>
          <w:lang w:val="en-GB"/>
        </w:rPr>
        <w:t>„</w:t>
      </w:r>
      <w:r>
        <w:rPr>
          <w:lang w:val="en-GB"/>
        </w:rPr>
        <w:t xml:space="preserve">The Management Board hereby proposes to change the ENS organisation chart in a way that the administration department will be supervised by the Finance Director. </w:t>
      </w:r>
    </w:p>
    <w:p>
      <w:pPr>
        <w:pStyle w:val="Normal"/>
        <w:jc w:val="both"/>
        <w:rPr/>
      </w:pPr>
      <w:r>
        <w:rPr>
          <w:lang w:val="en-GB"/>
        </w:rPr>
        <w:t xml:space="preserve">Moreover, the Management Board  proposes to create a new post at ENS, i.e. a position of </w:t>
      </w:r>
      <w:r>
        <w:rPr>
          <w:i/>
          <w:lang w:val="en-GB"/>
        </w:rPr>
        <w:t>EHS &amp; Maintenance Co-ordinator</w:t>
      </w:r>
      <w:r>
        <w:rPr>
          <w:lang w:val="en-GB"/>
        </w:rPr>
        <w:t>, who would be in charge of the following issues: production planning, maintenance and outage planning, electricity and heat calculations, environment protection, GUS reporting (Main Statistical Office).”</w:t>
      </w:r>
    </w:p>
    <w:p>
      <w:pPr>
        <w:pStyle w:val="Normal"/>
        <w:jc w:val="both"/>
        <w:rPr>
          <w:lang w:val="en-GB"/>
        </w:rPr>
      </w:pPr>
      <w:r>
        <w:rPr>
          <w:lang w:val="en-GB"/>
        </w:rPr>
      </w:r>
    </w:p>
    <w:p>
      <w:pPr>
        <w:pStyle w:val="Text"/>
        <w:ind w:hanging="0" w:end="0"/>
        <w:jc w:val="both"/>
        <w:rPr>
          <w:lang w:val="en-US"/>
        </w:rPr>
      </w:pPr>
      <w:r>
        <w:rPr>
          <w:lang w:val="en-US"/>
        </w:rPr>
        <w:t>The resolution was adopted unanimously.</w:t>
      </w:r>
    </w:p>
    <w:p>
      <w:pPr>
        <w:pStyle w:val="Text"/>
        <w:ind w:hanging="0" w:end="0"/>
        <w:jc w:val="both"/>
        <w:rPr>
          <w:lang w:val="en-GB"/>
        </w:rPr>
      </w:pPr>
      <w:r>
        <w:rPr>
          <w:lang w:val="en-GB"/>
        </w:rPr>
      </w:r>
    </w:p>
    <w:p>
      <w:pPr>
        <w:pStyle w:val="Text"/>
        <w:ind w:hanging="0" w:end="0"/>
        <w:jc w:val="center"/>
        <w:rPr>
          <w:b/>
          <w:u w:val="single"/>
          <w:lang w:val="en-GB"/>
        </w:rPr>
      </w:pPr>
      <w:r>
        <w:rPr>
          <w:b/>
          <w:u w:val="single"/>
          <w:lang w:val="en-GB"/>
        </w:rPr>
        <w:t>RESOLUTION NO. 5/2001</w:t>
      </w:r>
    </w:p>
    <w:p>
      <w:pPr>
        <w:pStyle w:val="Text"/>
        <w:ind w:hanging="0" w:end="0"/>
        <w:jc w:val="center"/>
        <w:rPr>
          <w:b/>
          <w:u w:val="single"/>
          <w:lang w:val="en-GB"/>
        </w:rPr>
      </w:pPr>
      <w:r>
        <w:rPr>
          <w:b/>
          <w:u w:val="single"/>
          <w:lang w:val="en-GB"/>
        </w:rPr>
      </w:r>
    </w:p>
    <w:p>
      <w:pPr>
        <w:pStyle w:val="Normal"/>
        <w:spacing w:before="0" w:after="240"/>
        <w:jc w:val="both"/>
        <w:rPr>
          <w:lang w:val="en-GB"/>
        </w:rPr>
      </w:pPr>
      <w:r>
        <w:rPr>
          <w:lang w:val="en-GB"/>
        </w:rPr>
        <w:t>„</w:t>
      </w:r>
      <w:r>
        <w:rPr>
          <w:lang w:val="en-GB"/>
        </w:rPr>
        <w:t>The Management Board hereby recommends the Supervisory Board to approve the requests for the following institutions:</w:t>
      </w:r>
    </w:p>
    <w:p>
      <w:pPr>
        <w:pStyle w:val="Normal"/>
        <w:numPr>
          <w:ilvl w:val="0"/>
          <w:numId w:val="3"/>
        </w:numPr>
        <w:spacing w:before="0" w:after="240"/>
        <w:jc w:val="both"/>
        <w:rPr>
          <w:lang w:val="en-GB"/>
        </w:rPr>
      </w:pPr>
      <w:r>
        <w:rPr>
          <w:lang w:val="en-GB"/>
        </w:rPr>
        <w:t>Komendy Powiatowej Policji w Leżajsku (Poviat Police Headquarters) – financial support for public safety, amount: 1.500 PLN;</w:t>
      </w:r>
    </w:p>
    <w:p>
      <w:pPr>
        <w:pStyle w:val="Normal"/>
        <w:numPr>
          <w:ilvl w:val="0"/>
          <w:numId w:val="3"/>
        </w:numPr>
        <w:spacing w:before="0" w:after="240"/>
        <w:jc w:val="both"/>
        <w:rPr>
          <w:lang w:val="en-GB"/>
        </w:rPr>
      </w:pPr>
      <w:r>
        <w:rPr>
          <w:lang w:val="en-GB"/>
        </w:rPr>
        <w:t>Stowarzyszenia Rodziców Dzieci Niepełnosprawnych w Sarzynie (Association of the Disabled Children’ Parents in Sarzyna) – donation for a minibus purchase for the needs of the local disabled children care house; amount: 4.000PLN; and</w:t>
      </w:r>
    </w:p>
    <w:p>
      <w:pPr>
        <w:pStyle w:val="Normal"/>
        <w:numPr>
          <w:ilvl w:val="0"/>
          <w:numId w:val="3"/>
        </w:numPr>
        <w:spacing w:before="0" w:after="240"/>
        <w:jc w:val="both"/>
        <w:rPr>
          <w:lang w:val="en-GB"/>
        </w:rPr>
      </w:pPr>
      <w:r>
        <w:rPr>
          <w:lang w:val="en-GB"/>
        </w:rPr>
        <w:t>Poradni Psychologiczno – Pedagogicznej w Leżajsku (Psychological and Pedagogical Counselling Centre)– financial support for issuing the “Parental guidance”; amount: 1.000 PLN.”</w:t>
      </w:r>
    </w:p>
    <w:p>
      <w:pPr>
        <w:pStyle w:val="Text"/>
        <w:ind w:hanging="0" w:end="0"/>
        <w:jc w:val="both"/>
        <w:rPr>
          <w:lang w:val="en-US"/>
        </w:rPr>
      </w:pPr>
      <w:r>
        <w:rPr>
          <w:lang w:val="en-US"/>
        </w:rPr>
        <w:t>The resolution was adopted unanimously.</w:t>
      </w:r>
    </w:p>
    <w:p>
      <w:pPr>
        <w:pStyle w:val="Text"/>
        <w:ind w:hanging="0" w:end="0"/>
        <w:jc w:val="both"/>
        <w:rPr>
          <w:lang w:val="en-GB"/>
        </w:rPr>
      </w:pPr>
      <w:r>
        <w:rPr>
          <w:lang w:val="en-GB"/>
        </w:rPr>
      </w:r>
    </w:p>
    <w:p>
      <w:pPr>
        <w:pStyle w:val="Text"/>
        <w:ind w:hanging="0" w:end="0"/>
        <w:jc w:val="both"/>
        <w:rPr>
          <w:lang w:val="en-US"/>
        </w:rPr>
      </w:pPr>
      <w:r>
        <w:rPr>
          <w:lang w:val="en-US"/>
        </w:rPr>
        <w:t>These minutes, and the attachments will be submitted to the Supervisory Board of the Company for review and approval of the proposed changes.</w:t>
      </w:r>
    </w:p>
    <w:p>
      <w:pPr>
        <w:pStyle w:val="Text"/>
        <w:spacing w:before="0" w:after="480"/>
        <w:ind w:hanging="0" w:end="0"/>
        <w:jc w:val="both"/>
        <w:rPr/>
      </w:pPr>
      <w:r>
        <w:rPr>
          <w:lang w:val="en-US"/>
        </w:rPr>
        <w:t>There being no other items on the agenda, the meeting was closed by the President of the Management Board.</w:t>
      </w:r>
    </w:p>
    <w:p>
      <w:pPr>
        <w:pStyle w:val="Text"/>
        <w:spacing w:before="0" w:after="480"/>
        <w:ind w:hanging="0" w:end="0"/>
        <w:jc w:val="both"/>
        <w:rPr>
          <w:lang w:val="en-US"/>
        </w:rPr>
      </w:pPr>
      <w:r>
        <w:rPr>
          <w:lang w:val="en-US"/>
        </w:rPr>
      </w:r>
    </w:p>
    <w:p>
      <w:pPr>
        <w:pStyle w:val="Text"/>
        <w:spacing w:before="0" w:after="480"/>
        <w:ind w:hanging="0" w:end="0"/>
        <w:jc w:val="both"/>
        <w:rPr>
          <w:lang w:val="en-US"/>
        </w:rPr>
      </w:pPr>
      <w:r>
        <w:rPr>
          <w:lang w:val="en-US"/>
        </w:rPr>
        <mc:AlternateContent>
          <mc:Choice Requires="wps">
            <w:drawing>
              <wp:anchor behindDoc="0" distT="0" distB="0" distL="114935" distR="114935" simplePos="0" locked="0" layoutInCell="1" allowOverlap="1" relativeHeight="10">
                <wp:simplePos x="0" y="0"/>
                <wp:positionH relativeFrom="column">
                  <wp:posOffset>3143250</wp:posOffset>
                </wp:positionH>
                <wp:positionV relativeFrom="paragraph">
                  <wp:posOffset>429260</wp:posOffset>
                </wp:positionV>
                <wp:extent cx="2434590" cy="0"/>
                <wp:effectExtent l="0" t="5080" r="0" b="5080"/>
                <wp:wrapNone/>
                <wp:docPr id="1" name=""/>
                <a:graphic xmlns:a="http://schemas.openxmlformats.org/drawingml/2006/main">
                  <a:graphicData uri="http://schemas.microsoft.com/office/word/2010/wordprocessingShape">
                    <wps:wsp>
                      <wps:cNvSpPr/>
                      <wps:spPr>
                        <a:xfrm>
                          <a:off x="0" y="0"/>
                          <a:ext cx="2434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7.5pt,33.8pt" to="439.15pt,33.8pt" stroked="t" o:allowincell="f" style="position:absolute">
                <v:stroke color="black" weight="9360" joinstyle="miter" endcap="flat"/>
                <v:fill o:detectmouseclick="t" on="false"/>
                <w10:wrap type="none"/>
              </v:line>
            </w:pict>
          </mc:Fallback>
        </mc:AlternateContent>
      </w:r>
    </w:p>
    <w:p>
      <w:pPr>
        <w:pStyle w:val="Text"/>
        <w:ind w:start="3600" w:end="0"/>
        <w:rPr>
          <w:b/>
          <w:lang w:val="en-US"/>
        </w:rPr>
      </w:pPr>
      <w:r>
        <w:rPr>
          <w:lang w:val="en-US"/>
        </w:rPr>
        <w:t>President of the Management Board</w:t>
      </w:r>
      <w:r>
        <w:br w:type="page"/>
      </w:r>
    </w:p>
    <w:p>
      <w:pPr>
        <w:pStyle w:val="Text"/>
        <w:spacing w:before="0" w:after="0"/>
        <w:ind w:hanging="0" w:end="0"/>
        <w:jc w:val="center"/>
        <w:rPr>
          <w:b/>
          <w:lang w:val="en-US"/>
        </w:rPr>
      </w:pPr>
      <w:r>
        <w:rPr>
          <w:b/>
          <w:lang w:val="en-US"/>
        </w:rPr>
      </w:r>
    </w:p>
    <w:p>
      <w:pPr>
        <w:pStyle w:val="Text"/>
        <w:spacing w:before="0" w:after="0"/>
        <w:ind w:hanging="0" w:end="0"/>
        <w:jc w:val="center"/>
        <w:rPr>
          <w:b/>
          <w:lang w:val="en-US"/>
        </w:rPr>
      </w:pPr>
      <w:r>
        <w:rPr>
          <w:b/>
          <w:lang w:val="en-US"/>
        </w:rPr>
      </w:r>
    </w:p>
    <w:p>
      <w:pPr>
        <w:pStyle w:val="Text"/>
        <w:spacing w:before="0" w:after="0"/>
        <w:ind w:hanging="0" w:end="0"/>
        <w:jc w:val="center"/>
        <w:rPr>
          <w:b/>
          <w:lang w:val="en-US"/>
        </w:rPr>
      </w:pPr>
      <w:r>
        <w:rPr>
          <w:b/>
          <w:lang w:val="en-US"/>
        </w:rPr>
        <w:t>ATTENDANCE LIST</w:t>
      </w:r>
    </w:p>
    <w:p>
      <w:pPr>
        <w:pStyle w:val="Text"/>
        <w:spacing w:before="0" w:after="0"/>
        <w:ind w:hanging="0" w:end="0"/>
        <w:jc w:val="center"/>
        <w:rPr>
          <w:b/>
          <w:lang w:val="en-US"/>
        </w:rPr>
      </w:pPr>
      <w:r>
        <w:rPr>
          <w:b/>
          <w:lang w:val="en-US"/>
        </w:rPr>
        <w:t>FOR THE MEETING OF THE MANAGEMENT BOARD</w:t>
      </w:r>
    </w:p>
    <w:p>
      <w:pPr>
        <w:pStyle w:val="Text"/>
        <w:spacing w:before="0" w:after="0"/>
        <w:ind w:hanging="0" w:end="0"/>
        <w:jc w:val="center"/>
        <w:rPr>
          <w:b/>
          <w:lang w:val="en-US"/>
        </w:rPr>
      </w:pPr>
      <w:r>
        <w:rPr>
          <w:b/>
          <w:lang w:val="en-US"/>
        </w:rPr>
        <w:t>OF ELEKTROCIEPŁOWNIA NOWA SARZYNA Sp. z o.o.</w:t>
      </w:r>
    </w:p>
    <w:p>
      <w:pPr>
        <w:pStyle w:val="Text"/>
        <w:spacing w:before="0" w:after="0"/>
        <w:ind w:hanging="0" w:end="0"/>
        <w:jc w:val="center"/>
        <w:rPr>
          <w:b/>
          <w:lang w:val="en-US"/>
        </w:rPr>
      </w:pPr>
      <w:r>
        <w:rPr>
          <w:b/>
          <w:lang w:val="en-US"/>
        </w:rPr>
      </w:r>
    </w:p>
    <w:p>
      <w:pPr>
        <w:pStyle w:val="Text"/>
        <w:ind w:hanging="0" w:end="0"/>
        <w:jc w:val="center"/>
        <w:rPr>
          <w:b/>
          <w:lang w:val="en-US"/>
        </w:rPr>
      </w:pPr>
      <w:r>
        <w:rPr>
          <w:b/>
          <w:lang w:val="en-US"/>
        </w:rPr>
        <w:t>ON OCTOBER 3, 2000</w:t>
      </w:r>
    </w:p>
    <w:p>
      <w:pPr>
        <w:pStyle w:val="Text"/>
        <w:spacing w:before="0" w:after="0"/>
        <w:ind w:hanging="0" w:end="0"/>
        <w:jc w:val="center"/>
        <w:rPr>
          <w:b/>
          <w:lang w:val="en-GB"/>
        </w:rPr>
      </w:pPr>
      <w:r>
        <w:rPr>
          <w:b/>
          <w:lang w:val="en-GB"/>
        </w:rPr>
      </w:r>
    </w:p>
    <w:p>
      <w:pPr>
        <w:pStyle w:val="Text"/>
        <w:ind w:hanging="0" w:end="0"/>
        <w:rPr>
          <w:b/>
          <w:lang w:val="en-GB"/>
        </w:rPr>
      </w:pPr>
      <w:r>
        <w:rPr>
          <w:b/>
          <w:lang w:val="en-GB"/>
        </w:rPr>
      </w:r>
    </w:p>
    <w:p>
      <w:pPr>
        <w:pStyle w:val="Text"/>
        <w:ind w:hanging="0" w:end="0"/>
        <w:jc w:val="both"/>
        <w:rPr>
          <w:lang w:val="en-GB"/>
        </w:rPr>
      </w:pPr>
      <w:r>
        <w:rPr>
          <w:lang w:val="en-GB"/>
        </w:rPr>
        <w:t>1.</w:t>
        <w:tab/>
        <w:t>Jacek Głowacki</w:t>
        <w:tab/>
        <w:tab/>
        <w:tab/>
        <w:tab/>
        <w:tab/>
        <w:tab/>
        <w:t>____________________</w:t>
      </w:r>
    </w:p>
    <w:p>
      <w:pPr>
        <w:pStyle w:val="Text"/>
        <w:ind w:hanging="0" w:end="0"/>
        <w:rPr>
          <w:lang w:val="en-GB"/>
        </w:rPr>
      </w:pPr>
      <w:r>
        <w:rPr>
          <w:lang w:val="en-GB"/>
        </w:rPr>
      </w:r>
    </w:p>
    <w:p>
      <w:pPr>
        <w:pStyle w:val="Text"/>
        <w:ind w:hanging="0" w:end="0"/>
        <w:rPr>
          <w:lang w:val="en-GB"/>
        </w:rPr>
      </w:pPr>
      <w:r>
        <w:rPr>
          <w:lang w:val="en-GB"/>
        </w:rPr>
        <w:t>2.</w:t>
        <w:tab/>
        <w:t>George Lojko</w:t>
        <w:tab/>
        <w:tab/>
        <w:tab/>
        <w:tab/>
        <w:tab/>
        <w:t xml:space="preserve">          </w:t>
        <w:tab/>
        <w:tab/>
        <w:t>____________________</w:t>
      </w:r>
    </w:p>
    <w:p>
      <w:pPr>
        <w:pStyle w:val="Text"/>
        <w:ind w:hanging="0" w:end="0"/>
        <w:rPr>
          <w:lang w:val="en-GB"/>
        </w:rPr>
      </w:pPr>
      <w:r>
        <w:rPr>
          <w:lang w:val="en-GB"/>
        </w:rPr>
      </w:r>
    </w:p>
    <w:p>
      <w:pPr>
        <w:pStyle w:val="Text"/>
        <w:ind w:hanging="0" w:end="0"/>
        <w:rPr>
          <w:lang w:val="en-GB"/>
        </w:rPr>
      </w:pPr>
      <w:r>
        <w:rPr>
          <w:lang w:val="en-GB"/>
        </w:rPr>
        <w:t>3.</w:t>
        <w:tab/>
        <w:t>Aleksander Zarębski</w:t>
        <w:tab/>
        <w:tab/>
        <w:tab/>
        <w:tab/>
        <w:tab/>
        <w:tab/>
        <w:t>____________________</w:t>
      </w:r>
    </w:p>
    <w:p>
      <w:pPr>
        <w:pStyle w:val="Text"/>
        <w:ind w:hanging="0" w:end="0"/>
        <w:rPr>
          <w:lang w:val="en-GB"/>
        </w:rPr>
      </w:pPr>
      <w:r>
        <w:rPr>
          <w:lang w:val="en-GB"/>
        </w:rPr>
      </w:r>
    </w:p>
    <w:p>
      <w:pPr>
        <w:pStyle w:val="Text"/>
        <w:ind w:hanging="0" w:end="0"/>
        <w:rPr>
          <w:lang w:val="en-GB"/>
        </w:rPr>
      </w:pPr>
      <w:r>
        <w:rPr>
          <w:lang w:val="en-GB"/>
        </w:rPr>
        <w:t>4.</w:t>
        <w:tab/>
        <w:t>Iwona Sierżęga</w:t>
        <w:tab/>
        <w:tab/>
        <w:tab/>
        <w:tab/>
        <w:tab/>
        <w:tab/>
        <w:t>____________________</w:t>
      </w:r>
    </w:p>
    <w:p>
      <w:pPr>
        <w:pStyle w:val="Text"/>
        <w:ind w:hanging="0" w:end="0"/>
        <w:rPr>
          <w:lang w:val="en-GB"/>
        </w:rPr>
      </w:pPr>
      <w:r>
        <w:rPr>
          <w:lang w:val="en-GB"/>
        </w:rPr>
      </w:r>
    </w:p>
    <w:p>
      <w:pPr>
        <w:pStyle w:val="Text"/>
        <w:ind w:hanging="0" w:end="0"/>
        <w:rPr>
          <w:lang w:val="en-GB"/>
        </w:rPr>
      </w:pPr>
      <w:r>
        <w:rPr>
          <w:lang w:val="en-GB"/>
        </w:rPr>
        <w:t>5.</w:t>
        <w:tab/>
        <w:t>Renata Maziarz</w:t>
        <w:tab/>
        <w:tab/>
        <w:tab/>
        <w:tab/>
        <w:tab/>
        <w:tab/>
        <w:t>____________________</w:t>
      </w:r>
      <w:r>
        <w:br w:type="page"/>
      </w:r>
    </w:p>
    <w:p>
      <w:pPr>
        <w:pStyle w:val="Normal"/>
        <w:spacing w:lineRule="atLeast" w:line="240"/>
        <w:jc w:val="center"/>
        <w:rPr>
          <w:b/>
          <w:u w:val="single"/>
          <w:lang w:val="en-GB"/>
        </w:rPr>
      </w:pPr>
      <w:r>
        <w:rPr>
          <w:b/>
          <w:u w:val="single"/>
          <w:lang w:val="en-GB"/>
        </w:rPr>
        <w:t>Attachment No 2</w:t>
      </w:r>
    </w:p>
    <w:p>
      <w:pPr>
        <w:pStyle w:val="Normal"/>
        <w:spacing w:lineRule="atLeast" w:line="240"/>
        <w:rPr>
          <w:b/>
          <w:i/>
          <w:i/>
          <w:u w:val="single"/>
          <w:lang w:val="en-GB"/>
        </w:rPr>
      </w:pPr>
      <w:r>
        <w:rPr>
          <w:b/>
          <w:i/>
          <w:u w:val="single"/>
          <w:lang w:val="en-GB"/>
        </w:rPr>
      </w:r>
    </w:p>
    <w:p>
      <w:pPr>
        <w:pStyle w:val="Normal"/>
        <w:spacing w:lineRule="atLeast" w:line="240"/>
        <w:jc w:val="center"/>
        <w:rPr>
          <w:b/>
          <w:color w:val="000000"/>
          <w:lang w:val="en-GB" w:eastAsia="pl-PL"/>
        </w:rPr>
      </w:pPr>
      <w:r>
        <w:rPr>
          <w:b/>
          <w:color w:val="000000"/>
          <w:lang w:val="en-GB" w:eastAsia="pl-PL"/>
        </w:rPr>
        <w:t xml:space="preserve">Duties description for the position of </w:t>
      </w:r>
      <w:r>
        <w:rPr>
          <w:b/>
          <w:i/>
          <w:lang w:val="en-GB"/>
        </w:rPr>
        <w:t>EHS &amp; Maintenance Co-ordinator</w:t>
      </w:r>
    </w:p>
    <w:p>
      <w:pPr>
        <w:pStyle w:val="Normal"/>
        <w:spacing w:lineRule="atLeast" w:line="240"/>
        <w:jc w:val="both"/>
        <w:rPr>
          <w:b/>
          <w:color w:val="000000"/>
          <w:lang w:val="en-GB" w:eastAsia="pl-PL"/>
        </w:rPr>
      </w:pPr>
      <w:r>
        <w:rPr>
          <w:b/>
          <w:color w:val="000000"/>
          <w:lang w:val="en-GB" w:eastAsia="pl-PL"/>
        </w:rPr>
      </w:r>
    </w:p>
    <w:p>
      <w:pPr>
        <w:pStyle w:val="Normal"/>
        <w:spacing w:lineRule="atLeast" w:line="240"/>
        <w:jc w:val="both"/>
        <w:rPr>
          <w:color w:val="000000"/>
          <w:lang w:val="en-GB" w:eastAsia="pl-PL"/>
        </w:rPr>
      </w:pPr>
      <w:r>
        <w:rPr>
          <w:color w:val="000000"/>
          <w:lang w:val="en-GB" w:eastAsia="pl-PL"/>
        </w:rPr>
        <w:t>1. Electricity production planning in accordance to PSE requirements:</w:t>
      </w:r>
    </w:p>
    <w:p>
      <w:pPr>
        <w:pStyle w:val="Normal"/>
        <w:numPr>
          <w:ilvl w:val="0"/>
          <w:numId w:val="6"/>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Annual and long term production forecasts with the scheduled outages.</w:t>
      </w:r>
    </w:p>
    <w:p>
      <w:pPr>
        <w:pStyle w:val="Normal"/>
        <w:numPr>
          <w:ilvl w:val="0"/>
          <w:numId w:val="6"/>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Annual production plans.</w:t>
      </w:r>
    </w:p>
    <w:p>
      <w:pPr>
        <w:pStyle w:val="Normal"/>
        <w:numPr>
          <w:ilvl w:val="0"/>
          <w:numId w:val="6"/>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Plans of fuel supplies, producing and submitting the fuel requests.</w:t>
      </w:r>
    </w:p>
    <w:p>
      <w:pPr>
        <w:pStyle w:val="Normal"/>
        <w:numPr>
          <w:ilvl w:val="0"/>
          <w:numId w:val="6"/>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Monthly production plans. Monthly, hourly production sheets.</w:t>
      </w:r>
    </w:p>
    <w:p>
      <w:pPr>
        <w:pStyle w:val="Normal"/>
        <w:numPr>
          <w:ilvl w:val="0"/>
          <w:numId w:val="6"/>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 xml:space="preserve">Knowledge of the procedures regarding planning and informing PSE about current production plans. </w:t>
      </w:r>
    </w:p>
    <w:p>
      <w:pPr>
        <w:pStyle w:val="Normal"/>
        <w:numPr>
          <w:ilvl w:val="0"/>
          <w:numId w:val="6"/>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Contact with contractors with regard to the above activities.</w:t>
      </w:r>
    </w:p>
    <w:p>
      <w:pPr>
        <w:pStyle w:val="Normal"/>
        <w:spacing w:lineRule="atLeast" w:line="240"/>
        <w:ind w:firstLine="720" w:end="0"/>
        <w:jc w:val="both"/>
        <w:rPr>
          <w:color w:val="000000"/>
          <w:lang w:val="en-GB" w:eastAsia="pl-PL"/>
        </w:rPr>
      </w:pPr>
      <w:r>
        <w:rPr>
          <w:color w:val="000000"/>
          <w:lang w:val="en-GB" w:eastAsia="pl-PL"/>
        </w:rPr>
      </w:r>
    </w:p>
    <w:p>
      <w:pPr>
        <w:pStyle w:val="Normal"/>
        <w:spacing w:lineRule="atLeast" w:line="240"/>
        <w:jc w:val="both"/>
        <w:rPr>
          <w:color w:val="000000"/>
          <w:lang w:val="en-GB" w:eastAsia="pl-PL"/>
        </w:rPr>
      </w:pPr>
      <w:r>
        <w:rPr>
          <w:color w:val="000000"/>
          <w:lang w:val="en-GB" w:eastAsia="pl-PL"/>
        </w:rPr>
        <w:t>2. Production control, reading the meters in accordance to the law and contracts requirements for mutual commercial calculation.</w:t>
      </w:r>
    </w:p>
    <w:p>
      <w:pPr>
        <w:pStyle w:val="Normal"/>
        <w:spacing w:lineRule="atLeast" w:line="240"/>
        <w:jc w:val="both"/>
        <w:rPr>
          <w:color w:val="000000"/>
          <w:lang w:val="en-GB" w:eastAsia="pl-PL"/>
        </w:rPr>
      </w:pPr>
      <w:r>
        <w:rPr>
          <w:color w:val="000000"/>
          <w:lang w:val="en-GB" w:eastAsia="pl-PL"/>
        </w:rPr>
      </w:r>
    </w:p>
    <w:p>
      <w:pPr>
        <w:pStyle w:val="Normal"/>
        <w:spacing w:lineRule="atLeast" w:line="240"/>
        <w:jc w:val="both"/>
        <w:rPr>
          <w:color w:val="000000"/>
          <w:lang w:val="en-GB" w:eastAsia="pl-PL"/>
        </w:rPr>
      </w:pPr>
      <w:r>
        <w:rPr>
          <w:color w:val="000000"/>
          <w:lang w:val="en-GB" w:eastAsia="pl-PL"/>
        </w:rPr>
        <w:t>3. Preparing the data for statistical records, participation in GUS statistical sheets preparation.</w:t>
      </w:r>
    </w:p>
    <w:p>
      <w:pPr>
        <w:pStyle w:val="Normal"/>
        <w:spacing w:lineRule="atLeast" w:line="240"/>
        <w:jc w:val="both"/>
        <w:rPr>
          <w:color w:val="000000"/>
          <w:lang w:val="en-GB" w:eastAsia="pl-PL"/>
        </w:rPr>
      </w:pPr>
      <w:r>
        <w:rPr>
          <w:color w:val="000000"/>
          <w:lang w:val="en-GB" w:eastAsia="pl-PL"/>
        </w:rPr>
      </w:r>
    </w:p>
    <w:p>
      <w:pPr>
        <w:pStyle w:val="Normal"/>
        <w:spacing w:lineRule="atLeast" w:line="240"/>
        <w:jc w:val="both"/>
        <w:rPr>
          <w:color w:val="000000"/>
          <w:lang w:val="en-GB" w:eastAsia="pl-PL"/>
        </w:rPr>
      </w:pPr>
      <w:r>
        <w:rPr>
          <w:color w:val="000000"/>
          <w:lang w:val="en-GB" w:eastAsia="pl-PL"/>
        </w:rPr>
        <w:t>4. Environment:</w:t>
      </w:r>
    </w:p>
    <w:p>
      <w:pPr>
        <w:pStyle w:val="Normal"/>
        <w:numPr>
          <w:ilvl w:val="0"/>
          <w:numId w:val="4"/>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Keeping records of legal regulations regarding environmental protection, for Polish and international law.</w:t>
      </w:r>
    </w:p>
    <w:p>
      <w:pPr>
        <w:pStyle w:val="Normal"/>
        <w:numPr>
          <w:ilvl w:val="0"/>
          <w:numId w:val="15"/>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Contact with local regulatory authorities and supervision authorities with regard to  environmental issues affecting ENS.</w:t>
      </w:r>
    </w:p>
    <w:p>
      <w:pPr>
        <w:pStyle w:val="Normal"/>
        <w:numPr>
          <w:ilvl w:val="0"/>
          <w:numId w:val="15"/>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Supervision of the implementation of requirements stated in decisions regarding the environment issued by local authorities.</w:t>
      </w:r>
    </w:p>
    <w:p>
      <w:pPr>
        <w:pStyle w:val="Normal"/>
        <w:numPr>
          <w:ilvl w:val="0"/>
          <w:numId w:val="13"/>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Ordering and controlling emissions.</w:t>
      </w:r>
    </w:p>
    <w:p>
      <w:pPr>
        <w:pStyle w:val="Normal"/>
        <w:spacing w:lineRule="atLeast" w:line="240"/>
        <w:ind w:firstLine="720" w:end="0"/>
        <w:jc w:val="both"/>
        <w:rPr>
          <w:color w:val="000000"/>
          <w:lang w:val="en-GB" w:eastAsia="pl-PL"/>
        </w:rPr>
      </w:pPr>
      <w:r>
        <w:rPr>
          <w:color w:val="000000"/>
          <w:lang w:val="en-GB" w:eastAsia="pl-PL"/>
        </w:rPr>
      </w:r>
    </w:p>
    <w:p>
      <w:pPr>
        <w:pStyle w:val="Normal"/>
        <w:spacing w:lineRule="atLeast" w:line="240"/>
        <w:jc w:val="both"/>
        <w:rPr>
          <w:color w:val="000000"/>
          <w:lang w:val="en-GB" w:eastAsia="pl-PL"/>
        </w:rPr>
      </w:pPr>
      <w:r>
        <w:rPr>
          <w:color w:val="000000"/>
          <w:lang w:val="en-GB" w:eastAsia="pl-PL"/>
        </w:rPr>
        <w:t>5. Balance and analytical analysis of production processes.</w:t>
      </w:r>
    </w:p>
    <w:p>
      <w:pPr>
        <w:pStyle w:val="Normal"/>
        <w:numPr>
          <w:ilvl w:val="0"/>
          <w:numId w:val="9"/>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Analyses regarding the optimisation of generation processes.</w:t>
      </w:r>
    </w:p>
    <w:p>
      <w:pPr>
        <w:pStyle w:val="Normal"/>
        <w:numPr>
          <w:ilvl w:val="0"/>
          <w:numId w:val="7"/>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 xml:space="preserve">Analysis of production processes with regard to different cost groups. </w:t>
      </w:r>
    </w:p>
    <w:p>
      <w:pPr>
        <w:pStyle w:val="Normal"/>
        <w:numPr>
          <w:ilvl w:val="0"/>
          <w:numId w:val="7"/>
        </w:numPr>
        <w:tabs>
          <w:tab w:val="clear" w:pos="720"/>
          <w:tab w:val="left" w:pos="1080" w:leader="none"/>
        </w:tabs>
        <w:spacing w:lineRule="atLeast" w:line="240"/>
        <w:ind w:hanging="360" w:start="1080" w:end="0"/>
        <w:jc w:val="both"/>
        <w:rPr>
          <w:color w:val="000000"/>
          <w:lang w:val="en-GB" w:eastAsia="pl-PL"/>
        </w:rPr>
      </w:pPr>
      <w:r>
        <w:rPr>
          <w:color w:val="000000"/>
          <w:lang w:val="en-GB" w:eastAsia="pl-PL"/>
        </w:rPr>
        <w:t xml:space="preserve">Analysis of methods and procedures of cost allocation between different products. </w:t>
      </w:r>
    </w:p>
    <w:p>
      <w:pPr>
        <w:pStyle w:val="Tekstpodstawowy2"/>
        <w:numPr>
          <w:ilvl w:val="0"/>
          <w:numId w:val="8"/>
        </w:numPr>
        <w:tabs>
          <w:tab w:val="clear" w:pos="720"/>
          <w:tab w:val="left" w:pos="1080" w:leader="none"/>
        </w:tabs>
        <w:ind w:hanging="360" w:start="1080" w:end="0"/>
        <w:rPr>
          <w:lang w:val="en-GB"/>
        </w:rPr>
      </w:pPr>
      <w:r>
        <w:rPr>
          <w:lang w:val="en-GB"/>
        </w:rPr>
        <w:t xml:space="preserve">Monitoring legal legislation with regard to tariff procedures for heat and electricity. Control of ERA decisions with regard to the ENS licence promises and tariffs. </w:t>
      </w:r>
    </w:p>
    <w:sectPr>
      <w:footerReference w:type="default" r:id="rId2"/>
      <w:footerReference w:type="first" r:id="rId3"/>
      <w:type w:val="nextPage"/>
      <w:pgSz w:w="11906" w:h="16838"/>
      <w:pgMar w:left="1440" w:right="1440" w:gutter="0" w:header="0" w:top="1418" w:footer="851"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9"/>
      </w:rPr>
      <w:t>-</w:t>
    </w:r>
    <w:r>
      <w:rPr>
        <w:rStyle w:val="PageNumber"/>
        <w:sz w:val="19"/>
      </w:rPr>
      <w:fldChar w:fldCharType="begin"/>
    </w:r>
    <w:r>
      <w:rPr>
        <w:rStyle w:val="PageNumber"/>
        <w:sz w:val="19"/>
      </w:rPr>
      <w:instrText xml:space="preserve"> PAGE </w:instrText>
    </w:r>
    <w:r>
      <w:rPr>
        <w:rStyle w:val="PageNumber"/>
        <w:sz w:val="19"/>
      </w:rPr>
      <w:fldChar w:fldCharType="separate"/>
    </w:r>
    <w:r>
      <w:rPr>
        <w:rStyle w:val="PageNumber"/>
        <w:sz w:val="19"/>
      </w:rPr>
      <w:t>8</w:t>
    </w:r>
    <w:r>
      <w:rPr>
        <w:rStyle w:val="PageNumber"/>
        <w:sz w:val="19"/>
      </w:rPr>
      <w:fldChar w:fldCharType="end"/>
    </w:r>
    <w:r>
      <w:rPr>
        <w:rStyle w:val="PageNumber"/>
        <w:sz w:val="19"/>
      </w:rPr>
      <w:t>-</w:t>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align>bottom</wp:align>
              </wp:positionV>
              <wp:extent cx="5486400" cy="548640"/>
              <wp:effectExtent l="0" t="0" r="0" b="0"/>
              <wp:wrapSquare wrapText="bothSides"/>
              <wp:docPr id="2" name="Frame2"/>
              <a:graphic xmlns:a="http://schemas.openxmlformats.org/drawingml/2006/main">
                <a:graphicData uri="http://schemas.microsoft.com/office/word/2010/wordprocessingShape">
                  <wps:wsp>
                    <wps:cNvSpPr txBox="1"/>
                    <wps:spPr>
                      <a:xfrm>
                        <a:off x="0" y="0"/>
                        <a:ext cx="5486400" cy="548640"/>
                      </a:xfrm>
                      <a:prstGeom prst="rect"/>
                      <a:solidFill>
                        <a:srgbClr val="FFFFFF">
                          <a:alpha val="0"/>
                        </a:srgbClr>
                      </a:solidFill>
                    </wps:spPr>
                    <wps:txbx>
                      <w:txbxContent>
                        <w:p>
                          <w:pPr>
                            <w:pStyle w:val="LongDocNameWC"/>
                            <w:rPr>
                              <w:sz w:val="9"/>
                            </w:rPr>
                          </w:pPr>
                          <w:r>
                            <w:rPr>
                              <w:sz w:val="9"/>
                            </w:rPr>
                            <w:fldChar w:fldCharType="begin"/>
                          </w:r>
                          <w:r>
                            <w:rPr>
                              <w:sz w:val="9"/>
                            </w:rPr>
                            <w:instrText xml:space="preserve"> DOCPROPERTY "DOCSDescription"</w:instrText>
                          </w:r>
                          <w:r>
                            <w:rPr>
                              <w:sz w:val="9"/>
                            </w:rPr>
                            <w:fldChar w:fldCharType="separate"/>
                          </w:r>
                          <w:r>
                            <w:rPr>
                              <w:sz w:val="9"/>
                            </w:rPr>
                            <w:t xml:space="preserve"> </w:t>
                          </w:r>
                          <w:r>
                            <w:rPr>
                              <w:sz w:val="9"/>
                            </w:rPr>
                            <w:fldChar w:fldCharType="end"/>
                          </w:r>
                          <w:r>
                            <w:rPr>
                              <w:sz w:val="9"/>
                            </w:rPr>
                            <w:t xml:space="preserve"> </w:t>
                          </w:r>
                          <w:r>
                            <w:rPr>
                              <w:sz w:val="9"/>
                            </w:rPr>
                            <w:fldChar w:fldCharType="begin"/>
                          </w:r>
                          <w:r>
                            <w:rPr>
                              <w:sz w:val="9"/>
                            </w:rPr>
                            <w:instrText xml:space="preserve"> DOCPROPERTY "Client Matter Number"</w:instrText>
                          </w:r>
                          <w:r>
                            <w:rPr>
                              <w:sz w:val="9"/>
                            </w:rPr>
                            <w:fldChar w:fldCharType="separate"/>
                          </w:r>
                          <w:r>
                            <w:rPr>
                              <w:sz w:val="9"/>
                            </w:rPr>
                          </w:r>
                          <w:r>
                            <w:rPr>
                              <w:sz w:val="9"/>
                            </w:rPr>
                            <w:fldChar w:fldCharType="end"/>
                          </w:r>
                        </w:p>
                      </w:txbxContent>
                    </wps:txbx>
                    <wps:bodyPr anchor="t" lIns="0" tIns="0" rIns="0" bIns="0">
                      <a:noAutofit/>
                    </wps:bodyPr>
                  </wps:wsp>
                </a:graphicData>
              </a:graphic>
            </wp:anchor>
          </w:drawing>
        </mc:Choice>
        <mc:Fallback>
          <w:pict>
            <v:rect fillcolor="#FFFFFF" style="position:absolute;rotation:-0;width:432pt;height:43.2pt;mso-wrap-distance-left:0pt;mso-wrap-distance-right:0pt;mso-wrap-distance-top:0pt;mso-wrap-distance-bottom:0pt;margin-top:798.7pt;mso-position-vertical:bottom;mso-position-vertical-relative:page;margin-left:72.05pt;mso-position-horizontal-relative:page">
              <v:fill opacity="0f"/>
              <v:textbox inset="0in,0in,0in,0in">
                <w:txbxContent>
                  <w:p>
                    <w:pPr>
                      <w:pStyle w:val="LongDocNameWC"/>
                      <w:rPr>
                        <w:sz w:val="9"/>
                      </w:rPr>
                    </w:pPr>
                    <w:r>
                      <w:rPr>
                        <w:sz w:val="9"/>
                      </w:rPr>
                      <w:fldChar w:fldCharType="begin"/>
                    </w:r>
                    <w:r>
                      <w:rPr>
                        <w:sz w:val="9"/>
                      </w:rPr>
                      <w:instrText xml:space="preserve"> DOCPROPERTY "DOCSDescription"</w:instrText>
                    </w:r>
                    <w:r>
                      <w:rPr>
                        <w:sz w:val="9"/>
                      </w:rPr>
                      <w:fldChar w:fldCharType="separate"/>
                    </w:r>
                    <w:r>
                      <w:rPr>
                        <w:sz w:val="9"/>
                      </w:rPr>
                      <w:t xml:space="preserve"> </w:t>
                    </w:r>
                    <w:r>
                      <w:rPr>
                        <w:sz w:val="9"/>
                      </w:rPr>
                      <w:fldChar w:fldCharType="end"/>
                    </w:r>
                    <w:r>
                      <w:rPr>
                        <w:sz w:val="9"/>
                      </w:rPr>
                      <w:t xml:space="preserve"> </w:t>
                    </w:r>
                    <w:r>
                      <w:rPr>
                        <w:sz w:val="9"/>
                      </w:rPr>
                      <w:fldChar w:fldCharType="begin"/>
                    </w:r>
                    <w:r>
                      <w:rPr>
                        <w:sz w:val="9"/>
                      </w:rPr>
                      <w:instrText xml:space="preserve"> DOCPROPERTY "Client Matter Number"</w:instrText>
                    </w:r>
                    <w:r>
                      <w:rPr>
                        <w:sz w:val="9"/>
                      </w:rPr>
                      <w:fldChar w:fldCharType="separate"/>
                    </w:r>
                    <w:r>
                      <w:rPr>
                        <w:sz w:val="9"/>
                      </w:rPr>
                    </w:r>
                    <w:r>
                      <w:rPr>
                        <w:sz w:val="9"/>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4572000" cy="548640"/>
              <wp:effectExtent l="0" t="0" r="0" b="0"/>
              <wp:wrapSquare wrapText="bothSides"/>
              <wp:docPr id="3" name="Frame1"/>
              <a:graphic xmlns:a="http://schemas.openxmlformats.org/drawingml/2006/main">
                <a:graphicData uri="http://schemas.microsoft.com/office/word/2010/wordprocessingShape">
                  <wps:wsp>
                    <wps:cNvSpPr txBox="1"/>
                    <wps:spPr>
                      <a:xfrm>
                        <a:off x="0" y="0"/>
                        <a:ext cx="4572000" cy="548640"/>
                      </a:xfrm>
                      <a:prstGeom prst="rect"/>
                      <a:solidFill>
                        <a:srgbClr val="FFFFFF">
                          <a:alpha val="0"/>
                        </a:srgbClr>
                      </a:solidFill>
                    </wps:spPr>
                    <wps:txbx>
                      <w:txbxContent>
                        <w:p>
                          <w:pPr>
                            <w:pStyle w:val="IDSTWC"/>
                            <w:rPr>
                              <w:sz w:val="9"/>
                            </w:rPr>
                          </w:pPr>
                          <w:r>
                            <w:rPr>
                              <w:sz w:val="9"/>
                            </w:rPr>
                          </w:r>
                        </w:p>
                        <w:p>
                          <w:pPr>
                            <w:pStyle w:val="LongDocNameWC"/>
                            <w:rPr>
                              <w:sz w:val="9"/>
                            </w:rPr>
                          </w:pPr>
                          <w:r>
                            <w:rPr>
                              <w:sz w:val="9"/>
                            </w:rPr>
                            <w:fldChar w:fldCharType="begin"/>
                          </w:r>
                          <w:r>
                            <w:rPr>
                              <w:sz w:val="9"/>
                            </w:rPr>
                            <w:instrText xml:space="preserve"> DOCPROPERTY "DOCSDescription"</w:instrText>
                          </w:r>
                          <w:r>
                            <w:rPr>
                              <w:sz w:val="9"/>
                            </w:rPr>
                            <w:fldChar w:fldCharType="separate"/>
                          </w:r>
                          <w:r>
                            <w:rPr>
                              <w:sz w:val="9"/>
                            </w:rPr>
                            <w:t xml:space="preserve"> </w:t>
                          </w:r>
                          <w:r>
                            <w:rPr>
                              <w:sz w:val="9"/>
                            </w:rPr>
                            <w:fldChar w:fldCharType="end"/>
                          </w:r>
                          <w:r>
                            <w:rPr>
                              <w:sz w:val="9"/>
                            </w:rPr>
                            <w:t xml:space="preserve"> </w:t>
                          </w:r>
                          <w:r>
                            <w:rPr>
                              <w:sz w:val="9"/>
                            </w:rPr>
                            <w:fldChar w:fldCharType="begin"/>
                          </w:r>
                          <w:r>
                            <w:rPr>
                              <w:sz w:val="9"/>
                            </w:rPr>
                            <w:instrText xml:space="preserve"> DOCPROPERTY "Client Matter Number"</w:instrText>
                          </w:r>
                          <w:r>
                            <w:rPr>
                              <w:sz w:val="9"/>
                            </w:rPr>
                            <w:fldChar w:fldCharType="separate"/>
                          </w:r>
                          <w:r>
                            <w:rPr>
                              <w:sz w:val="9"/>
                            </w:rPr>
                          </w:r>
                          <w:r>
                            <w:rPr>
                              <w:sz w:val="9"/>
                            </w:rPr>
                            <w:fldChar w:fldCharType="end"/>
                          </w:r>
                        </w:p>
                      </w:txbxContent>
                    </wps:txbx>
                    <wps:bodyPr anchor="t" lIns="0" tIns="0" rIns="0" bIns="0">
                      <a:noAutofit/>
                    </wps:bodyPr>
                  </wps:wsp>
                </a:graphicData>
              </a:graphic>
            </wp:anchor>
          </w:drawing>
        </mc:Choice>
        <mc:Fallback>
          <w:pict>
            <v:rect fillcolor="#FFFFFF" style="position:absolute;rotation:-0;width:360pt;height:43.2pt;mso-wrap-distance-left:0pt;mso-wrap-distance-right:0pt;mso-wrap-distance-top:0pt;mso-wrap-distance-bottom:0pt;margin-top:798.7pt;mso-position-vertical:bottom;mso-position-vertical-relative:page;margin-left:72.05pt;mso-position-horizontal-relative:page">
              <v:fill opacity="0f"/>
              <v:textbox inset="0in,0in,0in,0in">
                <w:txbxContent>
                  <w:p>
                    <w:pPr>
                      <w:pStyle w:val="IDSTWC"/>
                      <w:rPr>
                        <w:sz w:val="9"/>
                      </w:rPr>
                    </w:pPr>
                    <w:r>
                      <w:rPr>
                        <w:sz w:val="9"/>
                      </w:rPr>
                    </w:r>
                  </w:p>
                  <w:p>
                    <w:pPr>
                      <w:pStyle w:val="LongDocNameWC"/>
                      <w:rPr>
                        <w:sz w:val="9"/>
                      </w:rPr>
                    </w:pPr>
                    <w:r>
                      <w:rPr>
                        <w:sz w:val="9"/>
                      </w:rPr>
                      <w:fldChar w:fldCharType="begin"/>
                    </w:r>
                    <w:r>
                      <w:rPr>
                        <w:sz w:val="9"/>
                      </w:rPr>
                      <w:instrText xml:space="preserve"> DOCPROPERTY "DOCSDescription"</w:instrText>
                    </w:r>
                    <w:r>
                      <w:rPr>
                        <w:sz w:val="9"/>
                      </w:rPr>
                      <w:fldChar w:fldCharType="separate"/>
                    </w:r>
                    <w:r>
                      <w:rPr>
                        <w:sz w:val="9"/>
                      </w:rPr>
                      <w:t xml:space="preserve"> </w:t>
                    </w:r>
                    <w:r>
                      <w:rPr>
                        <w:sz w:val="9"/>
                      </w:rPr>
                      <w:fldChar w:fldCharType="end"/>
                    </w:r>
                    <w:r>
                      <w:rPr>
                        <w:sz w:val="9"/>
                      </w:rPr>
                      <w:t xml:space="preserve"> </w:t>
                    </w:r>
                    <w:r>
                      <w:rPr>
                        <w:sz w:val="9"/>
                      </w:rPr>
                      <w:fldChar w:fldCharType="begin"/>
                    </w:r>
                    <w:r>
                      <w:rPr>
                        <w:sz w:val="9"/>
                      </w:rPr>
                      <w:instrText xml:space="preserve"> DOCPROPERTY "Client Matter Number"</w:instrText>
                    </w:r>
                    <w:r>
                      <w:rPr>
                        <w:sz w:val="9"/>
                      </w:rPr>
                      <w:fldChar w:fldCharType="separate"/>
                    </w:r>
                    <w:r>
                      <w:rPr>
                        <w:sz w:val="9"/>
                      </w:rPr>
                    </w:r>
                    <w:r>
                      <w:rPr>
                        <w:sz w:val="9"/>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abstractNum>
  <w:abstractNum w:abstractNumId="3">
    <w:lvl w:ilvl="0">
      <w:start w:val="1"/>
      <w:numFmt w:val="lowerLetter"/>
      <w:lvlText w:val="%1)"/>
      <w:lvlJc w:val="start"/>
      <w:pPr>
        <w:tabs>
          <w:tab w:val="num" w:pos="720"/>
        </w:tabs>
        <w:ind w:start="720" w:hanging="720"/>
      </w:pPr>
      <w:rPr/>
    </w:lvl>
  </w:abstractNum>
  <w:abstractNum w:abstractNumId="4">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7">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8">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9">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0">
    <w:lvl w:ilvl="0">
      <w:start w:val="1"/>
      <w:numFmt w:val="decimal"/>
      <w:lvlText w:val="%1."/>
      <w:lvlJc w:val="start"/>
      <w:pPr>
        <w:tabs>
          <w:tab w:val="num" w:pos="360"/>
        </w:tabs>
        <w:ind w:start="360" w:hanging="360"/>
      </w:pPr>
      <w:rPr>
        <w:smallCaps w:val="false"/>
        <w:caps w:val="false"/>
        <w:outline w:val="false"/>
        <w:dstrike w:val="false"/>
        <w:strike w:val="false"/>
        <w:vertAlign w:val="baseline"/>
        <w:position w:val="0"/>
        <w:sz w:val="24"/>
        <w:shadow w:val="false"/>
        <w:u w:val="none"/>
        <w:vanish w:val="false"/>
        <w:color w:val="auto"/>
      </w:rPr>
    </w:lvl>
  </w:abstractNum>
  <w:abstractNum w:abstractNumId="11">
    <w:lvl w:ilvl="0">
      <w:start w:val="1"/>
      <w:numFmt w:val="decimal"/>
      <w:lvlText w:val="%1."/>
      <w:lvlJc w:val="start"/>
      <w:pPr>
        <w:tabs>
          <w:tab w:val="num" w:pos="360"/>
        </w:tabs>
        <w:ind w:start="360" w:hanging="360"/>
      </w:pPr>
    </w:lvl>
  </w:abstractNum>
  <w:abstractNum w:abstractNumId="12">
    <w:lvl w:ilvl="0">
      <w:start w:val="3"/>
      <w:numFmt w:val="decimal"/>
      <w:lvlText w:val="%1."/>
      <w:lvlJc w:val="start"/>
      <w:pPr>
        <w:tabs>
          <w:tab w:val="num" w:pos="720"/>
        </w:tabs>
        <w:ind w:start="720" w:hanging="720"/>
      </w:pPr>
      <w:rPr/>
    </w:lvl>
  </w:abstractNum>
  <w:abstractNum w:abstractNumId="13">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bullet"/>
      <w:lvlText w:val=""/>
      <w:lvlJc w:val="start"/>
      <w:pPr>
        <w:tabs>
          <w:tab w:val="num" w:pos="360"/>
        </w:tabs>
        <w:ind w:start="360" w:hanging="360"/>
      </w:pPr>
      <w:rPr>
        <w:rFonts w:ascii="Symbol" w:hAnsi="Symbol" w:cs="Symbol" w:hint="default"/>
        <w:sz w:val="28"/>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pl-PL"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tabs>
        <w:tab w:val="left" w:pos="720" w:leader="none"/>
        <w:tab w:val="left" w:pos="1440" w:leader="none"/>
        <w:tab w:val="left" w:pos="2160" w:leader="none"/>
        <w:tab w:val="left" w:pos="2880" w:leader="none"/>
        <w:tab w:val="left" w:pos="3600" w:leader="none"/>
        <w:tab w:val="left" w:pos="4320" w:leader="none"/>
      </w:tabs>
      <w:spacing w:before="0" w:after="480"/>
      <w:jc w:val="center"/>
      <w:outlineLvl w:val="1"/>
    </w:pPr>
    <w:rPr>
      <w:b/>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0" w:after="240"/>
      <w:jc w:val="center"/>
      <w:outlineLvl w:val="3"/>
    </w:pPr>
    <w:rPr>
      <w:b/>
      <w:caps/>
      <w:u w:val="single"/>
    </w:rPr>
  </w:style>
  <w:style w:type="paragraph" w:styleId="Heading5">
    <w:name w:val="heading 5"/>
    <w:basedOn w:val="Normal"/>
    <w:next w:val="Normal"/>
    <w:qFormat/>
    <w:pPr>
      <w:keepNext w:val="true"/>
      <w:numPr>
        <w:ilvl w:val="4"/>
        <w:numId w:val="1"/>
      </w:numPr>
      <w:spacing w:before="0" w:after="240"/>
      <w:jc w:val="both"/>
      <w:outlineLvl w:val="4"/>
    </w:pPr>
    <w:rPr>
      <w:i/>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rFonts w:ascii="Symbol" w:hAnsi="Symbol" w:cs="Symbol"/>
      <w:color w:val="auto"/>
      <w:sz w:val="28"/>
    </w:rPr>
  </w:style>
  <w:style w:type="character" w:styleId="WW8Num8z0">
    <w:name w:val="WW8Num8z0"/>
    <w:qFormat/>
    <w:rPr>
      <w:rFonts w:ascii="Symbol" w:hAnsi="Symbol" w:cs="Symbol"/>
      <w:color w:val="auto"/>
      <w:sz w:val="28"/>
    </w:rPr>
  </w:style>
  <w:style w:type="character" w:styleId="WW8Num9z0">
    <w:name w:val="WW8Num9z0"/>
    <w:qFormat/>
    <w:rPr>
      <w:rFonts w:ascii="Symbol" w:hAnsi="Symbol" w:cs="Symbol"/>
      <w:color w:val="auto"/>
      <w:sz w:val="28"/>
    </w:rPr>
  </w:style>
  <w:style w:type="character" w:styleId="WW8Num10z0">
    <w:name w:val="WW8Num10z0"/>
    <w:qFormat/>
    <w:rPr>
      <w:rFonts w:ascii="Symbol" w:hAnsi="Symbol" w:cs="Symbol"/>
      <w:color w:val="auto"/>
      <w:sz w:val="28"/>
    </w:rPr>
  </w:style>
  <w:style w:type="character" w:styleId="WW8Num11z0">
    <w:name w:val="WW8Num11z0"/>
    <w:qFormat/>
    <w:rPr>
      <w:rFonts w:ascii="Symbol" w:hAnsi="Symbol" w:cs="Symbol"/>
      <w:color w:val="auto"/>
      <w:sz w:val="28"/>
    </w:rPr>
  </w:style>
  <w:style w:type="character" w:styleId="WW8Num13z0">
    <w:name w:val="WW8Num13z0"/>
    <w:qFormat/>
    <w:rPr>
      <w:rFonts w:ascii="Symbol" w:hAnsi="Symbol" w:cs="Symbol"/>
      <w:color w:val="auto"/>
      <w:sz w:val="28"/>
    </w:rPr>
  </w:style>
  <w:style w:type="character" w:styleId="WW8Num15z0">
    <w:name w:val="WW8Num15z0"/>
    <w:qFormat/>
    <w:rPr/>
  </w:style>
  <w:style w:type="character" w:styleId="WW8Num16z0">
    <w:name w:val="WW8Num16z0"/>
    <w:qFormat/>
    <w:rPr>
      <w:caps w:val="false"/>
      <w:smallCaps w:val="false"/>
      <w:strike w:val="false"/>
      <w:dstrike w:val="false"/>
      <w:outline w:val="false"/>
      <w:shadow w:val="false"/>
      <w:vanish w:val="false"/>
      <w:color w:val="auto"/>
      <w:position w:val="0"/>
      <w:sz w:val="24"/>
      <w:u w:val="none"/>
      <w:vertAlign w:val="baseline"/>
    </w:rPr>
  </w:style>
  <w:style w:type="character" w:styleId="WW8Num18z0">
    <w:name w:val="WW8Num18z0"/>
    <w:qFormat/>
    <w:rPr/>
  </w:style>
  <w:style w:type="character" w:styleId="WW8Num19z0">
    <w:name w:val="WW8Num19z0"/>
    <w:qFormat/>
    <w:rPr>
      <w:rFonts w:ascii="Symbol" w:hAnsi="Symbol" w:cs="Symbol"/>
      <w:color w:val="auto"/>
      <w:sz w:val="28"/>
    </w:rPr>
  </w:style>
  <w:style w:type="character" w:styleId="WW8Num20z0">
    <w:name w:val="WW8Num20z0"/>
    <w:qFormat/>
    <w:rPr>
      <w:rFonts w:ascii="Symbol" w:hAnsi="Symbol" w:cs="Symbol"/>
      <w:color w:val="auto"/>
      <w:sz w:val="28"/>
    </w:rPr>
  </w:style>
  <w:style w:type="character" w:styleId="WW8Num23z0">
    <w:name w:val="WW8Num23z0"/>
    <w:qFormat/>
    <w:rPr>
      <w:rFonts w:ascii="Symbol" w:hAnsi="Symbol" w:cs="Symbol"/>
      <w:color w:val="auto"/>
      <w:sz w:val="28"/>
    </w:rPr>
  </w:style>
  <w:style w:type="character" w:styleId="Domylnaczcionkaakapitu">
    <w:name w:val="Domyślna czcionka akapitu"/>
    <w:qFormat/>
    <w:rPr/>
  </w:style>
  <w:style w:type="character" w:styleId="PageNumber">
    <w:name w:val="page number"/>
    <w:basedOn w:val="Domylnaczcionkaakapitu"/>
    <w:rPr/>
  </w:style>
  <w:style w:type="character" w:styleId="EndnoteCharacters">
    <w:name w:val="Endnote Characters"/>
    <w:qFormat/>
    <w:rPr>
      <w:color w:val="auto"/>
      <w:spacing w:val="0"/>
      <w:kern w:val="0"/>
      <w:sz w:val="24"/>
      <w:u w:val="none"/>
      <w:vertAlign w:val="superscript"/>
    </w:rPr>
  </w:style>
  <w:style w:type="character" w:styleId="FootnoteCharacters">
    <w:name w:val="Footnote Characters"/>
    <w:qFormat/>
    <w:rPr>
      <w:color w:val="auto"/>
      <w:spacing w:val="0"/>
      <w:kern w:val="0"/>
      <w:sz w:val="24"/>
      <w:u w:val="none"/>
      <w:vertAlign w:val="superscript"/>
    </w:rPr>
  </w:style>
  <w:style w:type="character" w:styleId="CharBaseArial">
    <w:name w:val="CharBaseArial"/>
    <w:qFormat/>
    <w:rPr>
      <w:rFonts w:ascii="Arial" w:hAnsi="Arial" w:cs="Arial"/>
      <w:sz w:val="24"/>
      <w:lang w:val="en-US"/>
    </w:rPr>
  </w:style>
  <w:style w:type="character" w:styleId="CharBaseTimes">
    <w:name w:val="CharBaseTimes"/>
    <w:qFormat/>
    <w:rPr>
      <w:rFonts w:ascii="Times New Roman" w:hAnsi="Times New Roman" w:cs="Times New Roman"/>
      <w:sz w:val="24"/>
      <w:lang w:val="pl-PL"/>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s>
      <w:spacing w:before="0" w:after="120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seTimes">
    <w:name w:val="BaseTimes"/>
    <w:qFormat/>
    <w:pPr>
      <w:widowControl/>
      <w:bidi w:val="0"/>
    </w:pPr>
    <w:rPr>
      <w:rFonts w:ascii="Times New Roman" w:hAnsi="Times New Roman" w:eastAsia="Times New Roman" w:cs="Times New Roman"/>
      <w:color w:val="auto"/>
      <w:sz w:val="24"/>
      <w:szCs w:val="20"/>
      <w:lang w:val="pl-PL" w:eastAsia="zh-CN" w:bidi="hi-IN"/>
    </w:rPr>
  </w:style>
  <w:style w:type="paragraph" w:styleId="FootnoteText">
    <w:name w:val="footnote text"/>
    <w:basedOn w:val="BaseTimes"/>
    <w:pPr>
      <w:tabs>
        <w:tab w:val="clear" w:pos="720"/>
        <w:tab w:val="left" w:pos="432" w:leader="none"/>
      </w:tabs>
      <w:spacing w:before="0" w:after="240"/>
      <w:ind w:hanging="432" w:start="432" w:end="0"/>
    </w:pPr>
    <w:rPr/>
  </w:style>
  <w:style w:type="paragraph" w:styleId="DraftLineWC">
    <w:name w:val="DraftLineW&amp;C"/>
    <w:basedOn w:val="BaseTimes"/>
    <w:qFormat/>
    <w:pPr>
      <w:spacing w:before="0" w:after="240"/>
      <w:ind w:firstLine="720" w:start="0" w:end="0"/>
      <w:jc w:val="end"/>
    </w:pPr>
    <w:rPr>
      <w:sz w:val="20"/>
    </w:rPr>
  </w:style>
  <w:style w:type="paragraph" w:styleId="EndnoteText">
    <w:name w:val="endnote text"/>
    <w:basedOn w:val="BaseTimes"/>
    <w:pPr>
      <w:tabs>
        <w:tab w:val="clear" w:pos="720"/>
        <w:tab w:val="left" w:pos="432" w:leader="none"/>
      </w:tabs>
      <w:spacing w:before="0" w:after="240"/>
      <w:ind w:hanging="432" w:start="432" w:end="0"/>
    </w:pPr>
    <w:rPr/>
  </w:style>
  <w:style w:type="paragraph" w:styleId="Index1">
    <w:name w:val="index 1"/>
    <w:basedOn w:val="Normal"/>
    <w:next w:val="Normal"/>
    <w:pPr>
      <w:tabs>
        <w:tab w:val="clear" w:pos="720"/>
        <w:tab w:val="right" w:pos="9360" w:leader="dot"/>
      </w:tabs>
      <w:ind w:hanging="240" w:start="240" w:end="0"/>
    </w:pPr>
    <w:rPr/>
  </w:style>
  <w:style w:type="paragraph" w:styleId="Text">
    <w:name w:val="Text"/>
    <w:basedOn w:val="BaseTimes"/>
    <w:qFormat/>
    <w:pPr>
      <w:spacing w:before="0" w:after="240"/>
      <w:ind w:firstLine="1440" w:start="0" w:end="0"/>
    </w:pPr>
    <w:rPr/>
  </w:style>
  <w:style w:type="paragraph" w:styleId="DateStampWC">
    <w:name w:val="DateStampW&amp;C"/>
    <w:basedOn w:val="Normal"/>
    <w:qFormat/>
    <w:pPr>
      <w:widowControl w:val="false"/>
      <w:ind w:firstLine="1440" w:start="0" w:end="0"/>
    </w:pPr>
    <w:rPr>
      <w:b/>
      <w:sz w:val="12"/>
      <w:lang w:val="en-CA" w:eastAsia="en-CA"/>
    </w:rPr>
  </w:style>
  <w:style w:type="paragraph" w:styleId="DateSTWC">
    <w:name w:val="DateSTW&amp;C"/>
    <w:basedOn w:val="BaseTimes"/>
    <w:qFormat/>
    <w:pPr/>
    <w:rPr>
      <w:sz w:val="12"/>
      <w:lang w:val="en-CA" w:eastAsia="en-CA"/>
    </w:rPr>
  </w:style>
  <w:style w:type="paragraph" w:styleId="TOC1">
    <w:name w:val="toc 1"/>
    <w:basedOn w:val="BaseTimes"/>
    <w:pPr>
      <w:keepLines/>
      <w:tabs>
        <w:tab w:val="clear" w:pos="720"/>
        <w:tab w:val="right" w:pos="9360" w:leader="dot"/>
      </w:tabs>
      <w:spacing w:before="240" w:after="120"/>
      <w:ind w:hanging="720" w:start="720" w:end="576"/>
    </w:pPr>
    <w:rPr/>
  </w:style>
  <w:style w:type="paragraph" w:styleId="TOC2">
    <w:name w:val="toc 2"/>
    <w:basedOn w:val="BaseTimes"/>
    <w:pPr>
      <w:tabs>
        <w:tab w:val="clear" w:pos="720"/>
        <w:tab w:val="right" w:pos="9360" w:leader="dot"/>
      </w:tabs>
      <w:ind w:hanging="720" w:start="1440" w:end="576"/>
    </w:pPr>
    <w:rPr/>
  </w:style>
  <w:style w:type="paragraph" w:styleId="TOC3">
    <w:name w:val="toc 3"/>
    <w:basedOn w:val="BaseTimes"/>
    <w:pPr>
      <w:keepLines/>
      <w:tabs>
        <w:tab w:val="clear" w:pos="720"/>
        <w:tab w:val="right" w:pos="9360" w:leader="dot"/>
      </w:tabs>
      <w:ind w:hanging="720" w:start="2160" w:end="576"/>
    </w:pPr>
    <w:rPr/>
  </w:style>
  <w:style w:type="paragraph" w:styleId="TOC4">
    <w:name w:val="toc 4"/>
    <w:basedOn w:val="BaseTimes"/>
    <w:pPr>
      <w:keepLines/>
      <w:tabs>
        <w:tab w:val="clear" w:pos="720"/>
        <w:tab w:val="right" w:pos="9360" w:leader="dot"/>
      </w:tabs>
      <w:ind w:hanging="720" w:start="2880" w:end="576"/>
    </w:pPr>
    <w:rPr/>
  </w:style>
  <w:style w:type="paragraph" w:styleId="TOC11">
    <w:name w:val="TOC  1"/>
    <w:basedOn w:val="Text"/>
    <w:qFormat/>
    <w:pPr>
      <w:keepNext w:val="true"/>
      <w:keepLines/>
      <w:tabs>
        <w:tab w:val="clear" w:pos="720"/>
        <w:tab w:val="right" w:pos="9360" w:leader="dot"/>
      </w:tabs>
      <w:spacing w:before="240" w:after="120"/>
      <w:ind w:hanging="720" w:start="720" w:end="576"/>
    </w:pPr>
    <w:rPr/>
  </w:style>
  <w:style w:type="paragraph" w:styleId="BaseArial">
    <w:name w:val="BaseArial"/>
    <w:qFormat/>
    <w:pPr>
      <w:widowControl/>
      <w:bidi w:val="0"/>
    </w:pPr>
    <w:rPr>
      <w:rFonts w:ascii="Arial" w:hAnsi="Arial" w:eastAsia="Times New Roman" w:cs="Arial"/>
      <w:color w:val="auto"/>
      <w:sz w:val="24"/>
      <w:szCs w:val="20"/>
      <w:lang w:val="pl-PL" w:eastAsia="zh-CN" w:bidi="hi-IN"/>
    </w:rPr>
  </w:style>
  <w:style w:type="paragraph" w:styleId="SignatureBlock">
    <w:name w:val="SignatureBlock"/>
    <w:basedOn w:val="Text"/>
    <w:next w:val="Text"/>
    <w:qFormat/>
    <w:pPr>
      <w:keepLines/>
      <w:tabs>
        <w:tab w:val="clear" w:pos="720"/>
        <w:tab w:val="left" w:pos="5731" w:leader="none"/>
        <w:tab w:val="right" w:pos="9000" w:leader="none"/>
      </w:tabs>
      <w:spacing w:before="480" w:after="240"/>
      <w:ind w:hanging="360" w:start="5040" w:end="0"/>
    </w:pPr>
    <w:rPr/>
  </w:style>
  <w:style w:type="paragraph" w:styleId="Tekstmakra">
    <w:name w:val="Tekst makra"/>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ind w:hanging="0" w:start="0" w:end="-7200"/>
    </w:pPr>
    <w:rPr>
      <w:rFonts w:ascii="Courier New" w:hAnsi="Courier New" w:eastAsia="Times New Roman" w:cs="Courier New"/>
      <w:color w:val="auto"/>
      <w:sz w:val="20"/>
      <w:szCs w:val="20"/>
      <w:lang w:val="en-US" w:eastAsia="zh-CN" w:bidi="hi-IN"/>
    </w:rPr>
  </w:style>
  <w:style w:type="paragraph" w:styleId="LongDocNameWC">
    <w:name w:val="LongDocNameW&amp;C"/>
    <w:basedOn w:val="Normal"/>
    <w:qFormat/>
    <w:pPr/>
    <w:rPr>
      <w:sz w:val="12"/>
      <w:lang w:val="en-CA" w:eastAsia="en-CA"/>
    </w:rPr>
  </w:style>
  <w:style w:type="paragraph" w:styleId="IDSTWC">
    <w:name w:val="IDSTW&amp;C"/>
    <w:qFormat/>
    <w:pPr>
      <w:widowControl/>
      <w:bidi w:val="0"/>
    </w:pPr>
    <w:rPr>
      <w:rFonts w:ascii="Times New Roman" w:hAnsi="Times New Roman" w:eastAsia="Times New Roman" w:cs="Times New Roman"/>
      <w:color w:val="auto"/>
      <w:sz w:val="12"/>
      <w:szCs w:val="20"/>
      <w:lang w:val="en-CA" w:eastAsia="zh-CN" w:bidi="hi-IN"/>
    </w:rPr>
  </w:style>
  <w:style w:type="paragraph" w:styleId="IDWC">
    <w:name w:val="IDW&amp;C"/>
    <w:basedOn w:val="Normal"/>
    <w:qFormat/>
    <w:pPr>
      <w:widowControl w:val="false"/>
      <w:ind w:firstLine="1440" w:start="0" w:end="0"/>
    </w:pPr>
    <w:rPr>
      <w:sz w:val="12"/>
      <w:lang w:val="en-CA" w:eastAsia="en-CA"/>
    </w:rPr>
  </w:style>
  <w:style w:type="paragraph" w:styleId="TOCHeading">
    <w:name w:val="TOCHeading"/>
    <w:basedOn w:val="Normal"/>
    <w:next w:val="Normal"/>
    <w:qFormat/>
    <w:pPr>
      <w:spacing w:lineRule="exact" w:line="240" w:before="0" w:after="480"/>
    </w:pPr>
    <w:rPr/>
  </w:style>
  <w:style w:type="paragraph" w:styleId="TOC21">
    <w:name w:val="TOC  2"/>
    <w:basedOn w:val="Text"/>
    <w:qFormat/>
    <w:pPr>
      <w:tabs>
        <w:tab w:val="left" w:pos="720" w:leader="none"/>
        <w:tab w:val="right" w:pos="9360" w:leader="dot"/>
      </w:tabs>
      <w:spacing w:before="0" w:after="0"/>
      <w:ind w:hanging="720" w:start="1440" w:end="576"/>
    </w:pPr>
    <w:rPr/>
  </w:style>
  <w:style w:type="paragraph" w:styleId="TOC31">
    <w:name w:val="TOC  3"/>
    <w:basedOn w:val="Text"/>
    <w:qFormat/>
    <w:pPr>
      <w:tabs>
        <w:tab w:val="left" w:pos="720" w:leader="none"/>
        <w:tab w:val="right" w:pos="9360" w:leader="dot"/>
      </w:tabs>
      <w:spacing w:before="0" w:after="0"/>
      <w:ind w:hanging="720" w:start="2160" w:end="576"/>
    </w:pPr>
    <w:rPr/>
  </w:style>
  <w:style w:type="paragraph" w:styleId="TOC41">
    <w:name w:val="TOC  4"/>
    <w:basedOn w:val="Text"/>
    <w:qFormat/>
    <w:pPr>
      <w:tabs>
        <w:tab w:val="left" w:pos="720" w:leader="none"/>
        <w:tab w:val="right" w:pos="9360" w:leader="dot"/>
      </w:tabs>
      <w:spacing w:before="0" w:after="0"/>
      <w:ind w:hanging="720" w:start="2880" w:end="576"/>
    </w:pPr>
    <w:rPr/>
  </w:style>
  <w:style w:type="paragraph" w:styleId="TOC5">
    <w:name w:val="TOC  5"/>
    <w:basedOn w:val="Text"/>
    <w:qFormat/>
    <w:pPr>
      <w:tabs>
        <w:tab w:val="left" w:pos="720" w:leader="none"/>
        <w:tab w:val="right" w:pos="9360" w:leader="dot"/>
      </w:tabs>
      <w:spacing w:before="0" w:after="0"/>
      <w:ind w:hanging="720" w:start="3600" w:end="576"/>
    </w:pPr>
    <w:rPr/>
  </w:style>
  <w:style w:type="paragraph" w:styleId="TOC6">
    <w:name w:val="TOC  6"/>
    <w:basedOn w:val="Text"/>
    <w:qFormat/>
    <w:pPr>
      <w:tabs>
        <w:tab w:val="left" w:pos="720" w:leader="none"/>
        <w:tab w:val="right" w:pos="9360" w:leader="dot"/>
      </w:tabs>
      <w:spacing w:before="0" w:after="0"/>
      <w:ind w:hanging="720" w:start="4320" w:end="576"/>
    </w:pPr>
    <w:rPr/>
  </w:style>
  <w:style w:type="paragraph" w:styleId="Tekstpodstawowy2">
    <w:name w:val="Tekst podstawowy 2"/>
    <w:basedOn w:val="Normal"/>
    <w:qFormat/>
    <w:pPr>
      <w:spacing w:lineRule="atLeast" w:line="240"/>
      <w:jc w:val="both"/>
    </w:pPr>
    <w:rPr>
      <w:color w:val="000000"/>
      <w:lang w:eastAsia="pl-PL"/>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 W&amp;C.dot</Template>
  <TotalTime>278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2001-10-11T08:09:00Z</dcterms:created>
  <dc:creator>BYKIEMA</dc:creator>
  <dc:description/>
  <cp:keywords>warsaw 31649 v2</cp:keywords>
  <dc:language>en-CA</dc:language>
  <cp:lastModifiedBy>rmaziarz</cp:lastModifiedBy>
  <cp:lastPrinted>2001-10-22T11:32:00Z</cp:lastPrinted>
  <dcterms:modified xsi:type="dcterms:W3CDTF">2001-10-22T07:02:00Z</dcterms:modified>
  <cp:revision>35</cp:revision>
  <dc:subject/>
  <dc:title>protokó³ - zarz¹d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Matter Number">
    <vt:lpwstr/>
  </property>
  <property fmtid="{D5CDD505-2E9C-101B-9397-08002B2CF9AE}" pid="3" name="DOCSDescription">
    <vt:lpwstr> </vt:lpwstr>
  </property>
  <property fmtid="{D5CDD505-2E9C-101B-9397-08002B2CF9AE}" pid="4" name="DateMissiv">
    <vt:lpwstr>Date</vt:lpwstr>
  </property>
  <property fmtid="{D5CDD505-2E9C-101B-9397-08002B2CF9AE}" pid="5" name="FYIMissiv">
    <vt:lpwstr>For your information</vt:lpwstr>
  </property>
  <property fmtid="{D5CDD505-2E9C-101B-9397-08002B2CF9AE}" pid="6" name="Full DOS Name">
    <vt:bool>0</vt:bool>
  </property>
  <property fmtid="{D5CDD505-2E9C-101B-9397-08002B2CF9AE}" pid="7" name="Language1">
    <vt:lpwstr>Polish</vt:lpwstr>
  </property>
  <property fmtid="{D5CDD505-2E9C-101B-9397-08002B2CF9AE}" pid="8" name="OpenFailed">
    <vt:bool>1</vt:bool>
  </property>
  <property fmtid="{D5CDD505-2E9C-101B-9397-08002B2CF9AE}" pid="9" name="PrivLine1">
    <vt:lpwstr>Poufne i Objete</vt:lpwstr>
  </property>
  <property fmtid="{D5CDD505-2E9C-101B-9397-08002B2CF9AE}" pid="10" name="PrivLine2">
    <vt:lpwstr>Tajemnica Zawodowa</vt:lpwstr>
  </property>
  <property fmtid="{D5CDD505-2E9C-101B-9397-08002B2CF9AE}" pid="11" name="ReferenceMissiv">
    <vt:lpwstr>Our reference</vt:lpwstr>
  </property>
  <property fmtid="{D5CDD505-2E9C-101B-9397-08002B2CF9AE}" pid="12" name="ShowVersion">
    <vt:bool>1</vt:bool>
  </property>
  <property fmtid="{D5CDD505-2E9C-101B-9397-08002B2CF9AE}" pid="13" name="SigBy1">
    <vt:lpwstr>By:</vt:lpwstr>
  </property>
  <property fmtid="{D5CDD505-2E9C-101B-9397-08002B2CF9AE}" pid="14" name="SigName1">
    <vt:lpwstr>Name:</vt:lpwstr>
  </property>
  <property fmtid="{D5CDD505-2E9C-101B-9397-08002B2CF9AE}" pid="15" name="SigTitle1">
    <vt:lpwstr>Title:</vt:lpwstr>
  </property>
  <property fmtid="{D5CDD505-2E9C-101B-9397-08002B2CF9AE}" pid="16" name="TelefaxMissiv">
    <vt:lpwstr>Telefax</vt:lpwstr>
  </property>
  <property fmtid="{D5CDD505-2E9C-101B-9397-08002B2CF9AE}" pid="17" name="TelephoneMissiv">
    <vt:lpwstr>Telephone</vt:lpwstr>
  </property>
  <property fmtid="{D5CDD505-2E9C-101B-9397-08002B2CF9AE}" pid="18" name="ToMissiv">
    <vt:lpwstr>To</vt:lpwstr>
  </property>
  <property fmtid="{D5CDD505-2E9C-101B-9397-08002B2CF9AE}" pid="19" name="VisitingAddressMissiv">
    <vt:lpwstr>Visiting address</vt:lpwstr>
  </property>
  <property fmtid="{D5CDD505-2E9C-101B-9397-08002B2CF9AE}" pid="20" name="WCOffice">
    <vt:lpwstr>Warsaw</vt:lpwstr>
  </property>
  <property fmtid="{D5CDD505-2E9C-101B-9397-08002B2CF9AE}" pid="21" name="WCPage1">
    <vt:lpwstr>Strona</vt:lpwstr>
  </property>
</Properties>
</file>