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Pooling Technical Subcommittee Meeting Summary </w:t>
      </w:r>
    </w:p>
    <w:p>
      <w:pPr>
        <w:pStyle w:val="Normal"/>
        <w:jc w:val="center"/>
        <w:rPr>
          <w:rFonts w:ascii="Arial" w:hAnsi="Arial" w:cs="Arial"/>
        </w:rPr>
      </w:pPr>
      <w:r>
        <w:rPr>
          <w:rFonts w:cs="Arial" w:ascii="Arial" w:hAnsi="Arial"/>
        </w:rPr>
        <w:t>July 14, 2000</w:t>
      </w:r>
    </w:p>
    <w:p>
      <w:pPr>
        <w:pStyle w:val="Normal"/>
        <w:jc w:val="center"/>
        <w:rPr>
          <w:rFonts w:ascii="Arial" w:hAnsi="Arial" w:cs="Arial"/>
        </w:rPr>
      </w:pPr>
      <w:r>
        <w:rPr>
          <w:rFonts w:cs="Arial" w:ascii="Arial" w:hAnsi="Arial"/>
        </w:rPr>
      </w:r>
    </w:p>
    <w:p>
      <w:pPr>
        <w:pStyle w:val="Normal"/>
        <w:rPr>
          <w:rFonts w:ascii="Arial" w:hAnsi="Arial" w:cs="Arial"/>
          <w:b/>
        </w:rPr>
      </w:pPr>
      <w:r>
        <w:rPr>
          <w:rFonts w:cs="Arial" w:ascii="Arial" w:hAnsi="Arial"/>
          <w:b/>
        </w:rPr>
        <w:t>Purpose of Meeting</w:t>
      </w:r>
    </w:p>
    <w:p>
      <w:pPr>
        <w:pStyle w:val="Normal"/>
        <w:rPr>
          <w:rFonts w:ascii="Arial" w:hAnsi="Arial" w:cs="Arial"/>
        </w:rPr>
      </w:pPr>
      <w:r>
        <w:rPr>
          <w:rFonts w:cs="Arial" w:ascii="Arial" w:hAnsi="Arial"/>
        </w:rPr>
        <w:t>To discuss pooling proposal and alternatives.</w:t>
      </w:r>
    </w:p>
    <w:p>
      <w:pPr>
        <w:pStyle w:val="Normal"/>
        <w:rPr>
          <w:rFonts w:ascii="Arial" w:hAnsi="Arial" w:cs="Arial"/>
        </w:rPr>
      </w:pPr>
      <w:r>
        <w:rPr>
          <w:rFonts w:cs="Arial" w:ascii="Arial" w:hAnsi="Arial"/>
        </w:rPr>
      </w:r>
    </w:p>
    <w:p>
      <w:pPr>
        <w:pStyle w:val="Heading1"/>
        <w:ind w:hanging="0" w:start="0"/>
        <w:rPr/>
      </w:pPr>
      <w:r>
        <w:rPr/>
        <w:t>Attendees</w:t>
      </w:r>
    </w:p>
    <w:p>
      <w:pPr>
        <w:pStyle w:val="Normal"/>
        <w:rPr>
          <w:rFonts w:ascii="Arial" w:hAnsi="Arial" w:cs="Arial"/>
        </w:rPr>
      </w:pPr>
      <w:r>
        <w:rPr>
          <w:rFonts w:cs="Arial" w:ascii="Arial" w:hAnsi="Arial"/>
        </w:rPr>
        <w:t>Sam Brown, Southwest Gas</w:t>
      </w:r>
    </w:p>
    <w:p>
      <w:pPr>
        <w:pStyle w:val="Normal"/>
        <w:rPr>
          <w:rFonts w:ascii="Arial" w:hAnsi="Arial" w:cs="Arial"/>
        </w:rPr>
      </w:pPr>
      <w:r>
        <w:rPr>
          <w:rFonts w:cs="Arial" w:ascii="Arial" w:hAnsi="Arial"/>
        </w:rPr>
        <w:t>Sandra Castaneda, El Paso Natural Gas</w:t>
      </w:r>
    </w:p>
    <w:p>
      <w:pPr>
        <w:pStyle w:val="Normal"/>
        <w:rPr>
          <w:rFonts w:ascii="Arial" w:hAnsi="Arial" w:cs="Arial"/>
        </w:rPr>
      </w:pPr>
      <w:r>
        <w:rPr>
          <w:rFonts w:cs="Arial" w:ascii="Arial" w:hAnsi="Arial"/>
        </w:rPr>
        <w:t>Pete Cervin, Burlington Resources</w:t>
      </w:r>
    </w:p>
    <w:p>
      <w:pPr>
        <w:pStyle w:val="Normal"/>
        <w:rPr>
          <w:rFonts w:ascii="Arial" w:hAnsi="Arial" w:cs="Arial"/>
        </w:rPr>
      </w:pPr>
      <w:r>
        <w:rPr>
          <w:rFonts w:cs="Arial" w:ascii="Arial" w:hAnsi="Arial"/>
        </w:rPr>
        <w:t>Jeff Hornback, Dynegy</w:t>
      </w:r>
    </w:p>
    <w:p>
      <w:pPr>
        <w:pStyle w:val="Normal"/>
        <w:rPr>
          <w:rFonts w:ascii="Arial" w:hAnsi="Arial" w:cs="Arial"/>
        </w:rPr>
      </w:pPr>
      <w:r>
        <w:rPr>
          <w:rFonts w:cs="Arial" w:ascii="Arial" w:hAnsi="Arial"/>
        </w:rPr>
        <w:t>Rick Ishikawa, SoCal Gas</w:t>
      </w:r>
    </w:p>
    <w:p>
      <w:pPr>
        <w:pStyle w:val="Normal"/>
        <w:rPr>
          <w:rFonts w:ascii="Arial" w:hAnsi="Arial" w:cs="Arial"/>
        </w:rPr>
      </w:pPr>
      <w:r>
        <w:rPr>
          <w:rFonts w:cs="Arial" w:ascii="Arial" w:hAnsi="Arial"/>
        </w:rPr>
        <w:t>Chuck Minshew, Sid Richardson</w:t>
      </w:r>
    </w:p>
    <w:p>
      <w:pPr>
        <w:pStyle w:val="Normal"/>
        <w:rPr>
          <w:rFonts w:ascii="Arial" w:hAnsi="Arial" w:cs="Arial"/>
        </w:rPr>
      </w:pPr>
      <w:r>
        <w:rPr>
          <w:rFonts w:cs="Arial" w:ascii="Arial" w:hAnsi="Arial"/>
        </w:rPr>
        <w:t>Ed Morris, Oneok</w:t>
      </w:r>
    </w:p>
    <w:p>
      <w:pPr>
        <w:pStyle w:val="Normal"/>
        <w:rPr>
          <w:rFonts w:ascii="Arial" w:hAnsi="Arial" w:cs="Arial"/>
        </w:rPr>
      </w:pPr>
      <w:r>
        <w:rPr>
          <w:rFonts w:cs="Arial" w:ascii="Arial" w:hAnsi="Arial"/>
        </w:rPr>
        <w:t>Nick Rassinier, Conoco</w:t>
      </w:r>
    </w:p>
    <w:p>
      <w:pPr>
        <w:pStyle w:val="Normal"/>
        <w:rPr>
          <w:rFonts w:ascii="Arial" w:hAnsi="Arial" w:cs="Arial"/>
        </w:rPr>
      </w:pPr>
      <w:r>
        <w:rPr>
          <w:rFonts w:cs="Arial" w:ascii="Arial" w:hAnsi="Arial"/>
        </w:rPr>
        <w:t>Kathy Royal, El Paso Natural Gas</w:t>
      </w:r>
    </w:p>
    <w:p>
      <w:pPr>
        <w:pStyle w:val="Normal"/>
        <w:rPr>
          <w:rFonts w:ascii="Arial" w:hAnsi="Arial" w:cs="Arial"/>
        </w:rPr>
      </w:pPr>
      <w:r>
        <w:rPr>
          <w:rFonts w:cs="Arial" w:ascii="Arial" w:hAnsi="Arial"/>
        </w:rPr>
        <w:t>Norm Walker, El Paso Natural Gas</w:t>
      </w:r>
    </w:p>
    <w:p>
      <w:pPr>
        <w:pStyle w:val="Normal"/>
        <w:rPr>
          <w:rFonts w:ascii="Arial" w:hAnsi="Arial" w:cs="Arial"/>
        </w:rPr>
      </w:pPr>
      <w:r>
        <w:rPr>
          <w:rFonts w:cs="Arial" w:ascii="Arial" w:hAnsi="Arial"/>
        </w:rPr>
      </w:r>
    </w:p>
    <w:p>
      <w:pPr>
        <w:pStyle w:val="Heading2"/>
        <w:ind w:hanging="0" w:start="0"/>
        <w:rPr>
          <w:b/>
        </w:rPr>
      </w:pPr>
      <w:r>
        <w:rPr>
          <w:b/>
        </w:rPr>
        <w:t>Objective Addressed</w:t>
      </w:r>
    </w:p>
    <w:p>
      <w:pPr>
        <w:pStyle w:val="Normal"/>
        <w:rPr>
          <w:rFonts w:ascii="Arial" w:hAnsi="Arial" w:cs="Arial"/>
        </w:rPr>
      </w:pPr>
      <w:r>
        <w:rPr>
          <w:rFonts w:cs="Arial" w:ascii="Arial" w:hAnsi="Arial"/>
        </w:rPr>
        <w:t>‘</w:t>
      </w:r>
      <w:r>
        <w:rPr>
          <w:rFonts w:cs="Arial" w:ascii="Arial" w:hAnsi="Arial"/>
        </w:rPr>
        <w:t>The Pooler’s assigned priority rankings for market and supply should be followed.’</w:t>
      </w:r>
    </w:p>
    <w:p>
      <w:pPr>
        <w:pStyle w:val="Normal"/>
        <w:rPr>
          <w:rFonts w:ascii="Arial" w:hAnsi="Arial" w:cs="Arial"/>
        </w:rPr>
      </w:pPr>
      <w:r>
        <w:rPr>
          <w:rFonts w:cs="Arial" w:ascii="Arial" w:hAnsi="Arial"/>
        </w:rPr>
      </w:r>
    </w:p>
    <w:p>
      <w:pPr>
        <w:pStyle w:val="Heading2"/>
        <w:ind w:hanging="0" w:start="0"/>
        <w:rPr>
          <w:b/>
        </w:rPr>
      </w:pPr>
      <w:r>
        <w:rPr>
          <w:b/>
        </w:rPr>
        <w:t xml:space="preserve">Proposed Pooling </w:t>
      </w:r>
    </w:p>
    <w:p>
      <w:pPr>
        <w:pStyle w:val="Normal"/>
        <w:rPr/>
      </w:pPr>
      <w:r>
        <w:rPr>
          <w:rFonts w:cs="Arial" w:ascii="Arial" w:hAnsi="Arial"/>
          <w:b/>
        </w:rPr>
        <w:t>Issue:</w:t>
      </w:r>
      <w:r>
        <w:rPr>
          <w:rFonts w:cs="Arial" w:ascii="Arial" w:hAnsi="Arial"/>
        </w:rPr>
        <w:t xml:space="preserve">  Currently, when poolers nominate supply from points above and below a constraint point, El Paso reduces only those transactions associated with the constraint, sometimes resulting in reductions not being applied to the lowest ranking transaction because reducing the lower ranked gas does not relieve the constraint. </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b/>
        </w:rPr>
        <w:t>Resolution:</w:t>
      </w:r>
      <w:r>
        <w:rPr>
          <w:rFonts w:cs="Arial" w:ascii="Arial" w:hAnsi="Arial"/>
        </w:rPr>
        <w:t xml:space="preserve"> To resolve this problem, El Paso proposes to reconfigure pooling areas to ensure constraint points are located downstream of the pooling supply areas.  With these new areas, El Paso can ensure that the poolers’ priorities are always followed.  For this meeting El Paso proposed 18 supply areas:  Blanco, Bondad ML, Bondad Sta, Cornudas, Dimmitt, Eunice, Keystone, Laguna, Midkiff, Monument, Pecos, Plains, Puckett, Rio Vista, Shafer, Sweetie Peck, Waha.  (For an example of a constraint point splitting a pooling area, see Proposed Pooling Example attached.)</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b/>
        </w:rPr>
        <w:t xml:space="preserve">Alternate Resolution: </w:t>
      </w:r>
      <w:r>
        <w:rPr>
          <w:rFonts w:cs="Arial" w:ascii="Arial" w:hAnsi="Arial"/>
        </w:rPr>
        <w:t>An alternative was discussed where Keystone and Waha would remain as they are today and the pooler’s ranks would be followed, regardless of whether the supply is associated with the constraint.  Following this method, the programs would continue to cut supply according to rank until the constraint is relieved, causing additional reductions but consistently following the poolers’ ranks.  (See Alternative Pooling Example attached.)</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b/>
        </w:rPr>
        <w:t xml:space="preserve">Keep Sum of Squares:  </w:t>
      </w:r>
      <w:r>
        <w:rPr>
          <w:rFonts w:cs="Arial" w:ascii="Arial" w:hAnsi="Arial"/>
        </w:rPr>
        <w:t>Currently, keeping the sum of squares methodology is also a possibility if consensus cannot be reached with another method.  In this case, El Paso would maintain the current supply area configurations and also reduce only the constrained supply.  (For a review of the Sum of Squares methodology, see Sum of Squares Methodology attached.)</w:t>
      </w:r>
    </w:p>
    <w:p>
      <w:pPr>
        <w:pStyle w:val="Normal"/>
        <w:rPr>
          <w:rFonts w:ascii="Arial" w:hAnsi="Arial" w:cs="Arial"/>
        </w:rPr>
      </w:pPr>
      <w:r>
        <w:rPr>
          <w:rFonts w:cs="Arial" w:ascii="Arial" w:hAnsi="Arial"/>
        </w:rPr>
      </w:r>
      <w:r>
        <w:br w:type="page"/>
      </w:r>
    </w:p>
    <w:p>
      <w:pPr>
        <w:pStyle w:val="Normal"/>
        <w:rPr/>
      </w:pPr>
      <w:r>
        <w:rPr>
          <w:rFonts w:cs="Arial" w:ascii="Arial" w:hAnsi="Arial"/>
          <w:b/>
        </w:rPr>
        <w:t>Highlights of Discussion:</w:t>
      </w:r>
      <w:r>
        <w:rPr>
          <w:rFonts w:cs="Arial" w:ascii="Arial" w:hAnsi="Arial"/>
        </w:rPr>
        <w:t xml:space="preserve"> </w:t>
      </w:r>
    </w:p>
    <w:p>
      <w:pPr>
        <w:pStyle w:val="Heading2"/>
        <w:ind w:hanging="0" w:start="0"/>
        <w:rPr/>
      </w:pPr>
      <w:r>
        <w:rPr/>
        <w:t>Permian Basin</w:t>
      </w:r>
    </w:p>
    <w:p>
      <w:pPr>
        <w:pStyle w:val="Normal"/>
        <w:rPr>
          <w:rFonts w:ascii="Arial" w:hAnsi="Arial" w:cs="Arial"/>
        </w:rPr>
      </w:pPr>
      <w:r>
        <w:rPr>
          <w:rFonts w:cs="Arial" w:ascii="Arial" w:hAnsi="Arial"/>
        </w:rPr>
        <w:t xml:space="preserve">Attendees felt that the Permian Basin, as a rule, does not experience the magnitude of problems the San Juan Basin experiences. However, there was some concern that future market shifts might impact trading in Permian and the problems that exist in San Juan might appear in the Permian region.  For now, everyone felt sufficient options are available in the Permian Basin for acquiring alternate supplies and/or markets if necessary and further dividing the current Permian supply areas would only disadvantage electronic trading.  Preserving liquidity, in the case of Keystone and Waha, may exceed the importance of following the ranks.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Several felt they’d rather keep the Permian pools at the current configuration (3 supply areas) and cut the lowest ranks first as demonstrated by the Alternative Pooling Example. </w:t>
      </w:r>
    </w:p>
    <w:p>
      <w:pPr>
        <w:pStyle w:val="Normal"/>
        <w:rPr>
          <w:rFonts w:ascii="Arial" w:hAnsi="Arial" w:cs="Arial"/>
        </w:rPr>
      </w:pPr>
      <w:r>
        <w:rPr>
          <w:rFonts w:cs="Arial" w:ascii="Arial" w:hAnsi="Arial"/>
        </w:rPr>
      </w:r>
    </w:p>
    <w:p>
      <w:pPr>
        <w:pStyle w:val="Heading2"/>
        <w:ind w:hanging="0" w:start="0"/>
        <w:rPr/>
      </w:pPr>
      <w:r>
        <w:rPr/>
        <w:t>San Juan</w:t>
      </w:r>
    </w:p>
    <w:p>
      <w:pPr>
        <w:pStyle w:val="Normal"/>
        <w:tabs>
          <w:tab w:val="clear" w:pos="720"/>
          <w:tab w:val="left" w:pos="360" w:leader="none"/>
        </w:tabs>
        <w:rPr>
          <w:rFonts w:ascii="Arial" w:hAnsi="Arial" w:cs="Arial"/>
        </w:rPr>
      </w:pPr>
      <w:r>
        <w:rPr>
          <w:rFonts w:cs="Arial" w:ascii="Arial" w:hAnsi="Arial"/>
        </w:rPr>
        <w:t xml:space="preserve">All attendees were aware of the problems in the San Juan area and most felt splitting out Bondad into Bondad Station and Bondad Mainline was necessary.  There was some discussion on whether or not it was necessary to divide Blanco to accommodate Rio Vista.  However, leaving Rio Vista as part of Blanco and adapting the alternative method could cause operational problems in Blanco when the constraint occurs in Rio Vista.  </w:t>
      </w:r>
    </w:p>
    <w:p>
      <w:pPr>
        <w:pStyle w:val="Normal"/>
        <w:tabs>
          <w:tab w:val="clear" w:pos="720"/>
          <w:tab w:val="left" w:pos="360" w:leader="none"/>
        </w:tabs>
        <w:rPr>
          <w:rFonts w:ascii="Arial" w:hAnsi="Arial" w:cs="Arial"/>
        </w:rPr>
      </w:pPr>
      <w:r>
        <w:rPr>
          <w:rFonts w:cs="Arial" w:ascii="Arial" w:hAnsi="Arial"/>
        </w:rPr>
      </w:r>
    </w:p>
    <w:p>
      <w:pPr>
        <w:pStyle w:val="Normal"/>
        <w:tabs>
          <w:tab w:val="clear" w:pos="720"/>
          <w:tab w:val="left" w:pos="360" w:leader="none"/>
        </w:tabs>
        <w:rPr>
          <w:rFonts w:ascii="Arial" w:hAnsi="Arial" w:cs="Arial"/>
        </w:rPr>
      </w:pPr>
      <w:r>
        <w:rPr>
          <w:rFonts w:cs="Arial" w:ascii="Arial" w:hAnsi="Arial"/>
        </w:rPr>
        <w:t xml:space="preserve">One attendee suggested continuing to follow the sum of squares might be the best route after all, because it resolves the constrained gas without impacting the unconstrained gas.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Result: 12 Pools</w:t>
      </w:r>
    </w:p>
    <w:p>
      <w:pPr>
        <w:pStyle w:val="Normal"/>
        <w:rPr>
          <w:rFonts w:ascii="Arial" w:hAnsi="Arial" w:cs="Arial"/>
        </w:rPr>
      </w:pPr>
      <w:r>
        <w:rPr>
          <w:rFonts w:cs="Arial" w:ascii="Arial" w:hAnsi="Arial"/>
        </w:rPr>
        <w:t xml:space="preserve">Based on the discussions and examples, the attendees agreed to the following pools.  This, along with further discussion regarding the methodologies (see also Proposals Matrix), will be the starting place for the next meeting. </w:t>
      </w:r>
    </w:p>
    <w:p>
      <w:pPr>
        <w:pStyle w:val="Normal"/>
        <w:rPr>
          <w:rFonts w:ascii="Arial" w:hAnsi="Arial" w:cs="Arial"/>
        </w:rPr>
      </w:pPr>
      <w:r>
        <w:rPr>
          <w:rFonts w:cs="Arial" w:ascii="Arial" w:hAnsi="Arial"/>
        </w:rPr>
      </w:r>
    </w:p>
    <w:p>
      <w:pPr>
        <w:pStyle w:val="Heading1"/>
        <w:ind w:hanging="0" w:start="0"/>
        <w:rPr/>
      </w:pPr>
      <w:r>
        <w:rPr/>
        <w:t>San Juan Basin Supply Areas</w:t>
      </w:r>
    </w:p>
    <w:p>
      <w:pPr>
        <w:pStyle w:val="Normal"/>
        <w:numPr>
          <w:ilvl w:val="0"/>
          <w:numId w:val="2"/>
        </w:numPr>
        <w:tabs>
          <w:tab w:val="clear" w:pos="720"/>
          <w:tab w:val="left" w:pos="360" w:leader="none"/>
        </w:tabs>
        <w:rPr>
          <w:rFonts w:ascii="Arial" w:hAnsi="Arial" w:cs="Arial"/>
        </w:rPr>
      </w:pPr>
      <w:r>
        <w:rPr>
          <w:rFonts w:cs="Arial" w:ascii="Arial" w:hAnsi="Arial"/>
        </w:rPr>
        <w:t>Blanco</w:t>
      </w:r>
    </w:p>
    <w:p>
      <w:pPr>
        <w:pStyle w:val="Normal"/>
        <w:numPr>
          <w:ilvl w:val="0"/>
          <w:numId w:val="2"/>
        </w:numPr>
        <w:tabs>
          <w:tab w:val="clear" w:pos="720"/>
          <w:tab w:val="left" w:pos="360" w:leader="none"/>
        </w:tabs>
        <w:rPr>
          <w:rFonts w:ascii="Arial" w:hAnsi="Arial" w:cs="Arial"/>
        </w:rPr>
      </w:pPr>
      <w:r>
        <w:rPr>
          <w:rFonts w:cs="Arial" w:ascii="Arial" w:hAnsi="Arial"/>
        </w:rPr>
        <w:t>Bondad ML</w:t>
      </w:r>
    </w:p>
    <w:p>
      <w:pPr>
        <w:pStyle w:val="Normal"/>
        <w:numPr>
          <w:ilvl w:val="0"/>
          <w:numId w:val="2"/>
        </w:numPr>
        <w:tabs>
          <w:tab w:val="clear" w:pos="720"/>
          <w:tab w:val="left" w:pos="360" w:leader="none"/>
        </w:tabs>
        <w:rPr>
          <w:rFonts w:ascii="Arial" w:hAnsi="Arial" w:cs="Arial"/>
        </w:rPr>
      </w:pPr>
      <w:r>
        <w:rPr>
          <w:rFonts w:cs="Arial" w:ascii="Arial" w:hAnsi="Arial"/>
        </w:rPr>
        <w:t>Bondad Station</w:t>
      </w:r>
    </w:p>
    <w:p>
      <w:pPr>
        <w:pStyle w:val="Normal"/>
        <w:numPr>
          <w:ilvl w:val="0"/>
          <w:numId w:val="2"/>
        </w:numPr>
        <w:tabs>
          <w:tab w:val="clear" w:pos="720"/>
          <w:tab w:val="left" w:pos="360" w:leader="none"/>
        </w:tabs>
        <w:rPr>
          <w:rFonts w:ascii="Arial" w:hAnsi="Arial" w:cs="Arial"/>
        </w:rPr>
      </w:pPr>
      <w:r>
        <w:rPr>
          <w:rFonts w:cs="Arial" w:ascii="Arial" w:hAnsi="Arial"/>
        </w:rPr>
        <w:t>Rio Vista</w:t>
      </w:r>
    </w:p>
    <w:p>
      <w:pPr>
        <w:pStyle w:val="Heading1"/>
        <w:numPr>
          <w:ilvl w:val="0"/>
          <w:numId w:val="2"/>
        </w:numPr>
        <w:tabs>
          <w:tab w:val="clear" w:pos="720"/>
          <w:tab w:val="left" w:pos="360" w:leader="none"/>
        </w:tabs>
        <w:rPr>
          <w:b w:val="false"/>
        </w:rPr>
      </w:pPr>
      <w:r>
        <w:rPr>
          <w:b w:val="false"/>
        </w:rPr>
        <w:t>Laguna (south of the San Juan Basin along the Permian San Juan Cross Over)</w:t>
      </w:r>
    </w:p>
    <w:p>
      <w:pPr>
        <w:pStyle w:val="Normal"/>
        <w:rPr>
          <w:b/>
        </w:rPr>
      </w:pPr>
      <w:r>
        <w:rPr>
          <w:b/>
        </w:rPr>
      </w:r>
    </w:p>
    <w:p>
      <w:pPr>
        <w:pStyle w:val="Heading1"/>
        <w:ind w:hanging="0" w:start="0"/>
        <w:rPr/>
      </w:pPr>
      <w:r>
        <w:rPr/>
        <w:t>Permian Basin Supply Areas</w:t>
      </w:r>
    </w:p>
    <w:p>
      <w:pPr>
        <w:pStyle w:val="Normal"/>
        <w:numPr>
          <w:ilvl w:val="0"/>
          <w:numId w:val="2"/>
        </w:numPr>
        <w:tabs>
          <w:tab w:val="clear" w:pos="720"/>
          <w:tab w:val="left" w:pos="360" w:leader="none"/>
        </w:tabs>
        <w:rPr>
          <w:rFonts w:ascii="Arial" w:hAnsi="Arial" w:cs="Arial"/>
        </w:rPr>
      </w:pPr>
      <w:r>
        <w:rPr>
          <w:rFonts w:cs="Arial" w:ascii="Arial" w:hAnsi="Arial"/>
        </w:rPr>
        <w:t>Cornudas</w:t>
      </w:r>
    </w:p>
    <w:p>
      <w:pPr>
        <w:pStyle w:val="Normal"/>
        <w:numPr>
          <w:ilvl w:val="0"/>
          <w:numId w:val="2"/>
        </w:numPr>
        <w:tabs>
          <w:tab w:val="clear" w:pos="720"/>
          <w:tab w:val="left" w:pos="360" w:leader="none"/>
        </w:tabs>
        <w:rPr>
          <w:rFonts w:ascii="Arial" w:hAnsi="Arial" w:cs="Arial"/>
        </w:rPr>
      </w:pPr>
      <w:r>
        <w:rPr>
          <w:rFonts w:cs="Arial" w:ascii="Arial" w:hAnsi="Arial"/>
        </w:rPr>
        <w:t xml:space="preserve">Plains </w:t>
      </w:r>
    </w:p>
    <w:p>
      <w:pPr>
        <w:pStyle w:val="Normal"/>
        <w:numPr>
          <w:ilvl w:val="0"/>
          <w:numId w:val="2"/>
        </w:numPr>
        <w:tabs>
          <w:tab w:val="clear" w:pos="720"/>
          <w:tab w:val="left" w:pos="360" w:leader="none"/>
        </w:tabs>
        <w:rPr>
          <w:rFonts w:ascii="Arial" w:hAnsi="Arial" w:cs="Arial"/>
        </w:rPr>
      </w:pPr>
      <w:r>
        <w:rPr>
          <w:rFonts w:cs="Arial" w:ascii="Arial" w:hAnsi="Arial"/>
        </w:rPr>
        <w:t>Dimmitt (north of Plains along the Plains to Dumas line)</w:t>
      </w:r>
    </w:p>
    <w:p>
      <w:pPr>
        <w:pStyle w:val="Normal"/>
        <w:numPr>
          <w:ilvl w:val="0"/>
          <w:numId w:val="2"/>
        </w:numPr>
        <w:tabs>
          <w:tab w:val="clear" w:pos="720"/>
          <w:tab w:val="left" w:pos="360" w:leader="none"/>
        </w:tabs>
        <w:rPr>
          <w:rFonts w:ascii="Arial" w:hAnsi="Arial" w:cs="Arial"/>
        </w:rPr>
      </w:pPr>
      <w:r>
        <w:rPr>
          <w:rFonts w:cs="Arial" w:ascii="Arial" w:hAnsi="Arial"/>
        </w:rPr>
        <w:t xml:space="preserve">Keystone </w:t>
      </w:r>
    </w:p>
    <w:p>
      <w:pPr>
        <w:pStyle w:val="Normal"/>
        <w:numPr>
          <w:ilvl w:val="0"/>
          <w:numId w:val="2"/>
        </w:numPr>
        <w:tabs>
          <w:tab w:val="clear" w:pos="720"/>
          <w:tab w:val="left" w:pos="360" w:leader="none"/>
        </w:tabs>
        <w:rPr>
          <w:rFonts w:ascii="Arial" w:hAnsi="Arial" w:cs="Arial"/>
        </w:rPr>
      </w:pPr>
      <w:r>
        <w:rPr>
          <w:rFonts w:cs="Arial" w:ascii="Arial" w:hAnsi="Arial"/>
        </w:rPr>
        <w:t>Waha</w:t>
      </w:r>
    </w:p>
    <w:p>
      <w:pPr>
        <w:pStyle w:val="Normal"/>
        <w:tabs>
          <w:tab w:val="clear" w:pos="720"/>
          <w:tab w:val="left" w:pos="360" w:leader="none"/>
        </w:tabs>
        <w:rPr>
          <w:rFonts w:ascii="Arial" w:hAnsi="Arial" w:cs="Arial"/>
        </w:rPr>
      </w:pPr>
      <w:r>
        <w:rPr>
          <w:rFonts w:cs="Arial" w:ascii="Arial" w:hAnsi="Arial"/>
        </w:rPr>
      </w:r>
    </w:p>
    <w:p>
      <w:pPr>
        <w:pStyle w:val="Heading1"/>
        <w:ind w:hanging="0" w:start="0"/>
        <w:rPr/>
      </w:pPr>
      <w:r>
        <w:rPr/>
        <w:t>Anadarko Basin Supply Areas</w:t>
      </w:r>
    </w:p>
    <w:p>
      <w:pPr>
        <w:pStyle w:val="Normal"/>
        <w:numPr>
          <w:ilvl w:val="0"/>
          <w:numId w:val="2"/>
        </w:numPr>
        <w:tabs>
          <w:tab w:val="clear" w:pos="720"/>
          <w:tab w:val="left" w:pos="360" w:leader="none"/>
        </w:tabs>
        <w:rPr>
          <w:rFonts w:ascii="Arial" w:hAnsi="Arial" w:cs="Arial"/>
        </w:rPr>
      </w:pPr>
      <w:r>
        <w:rPr>
          <w:rFonts w:cs="Arial" w:ascii="Arial" w:hAnsi="Arial"/>
        </w:rPr>
        <w:t>Shafer</w:t>
      </w:r>
    </w:p>
    <w:p>
      <w:pPr>
        <w:pStyle w:val="Normal"/>
        <w:numPr>
          <w:ilvl w:val="0"/>
          <w:numId w:val="2"/>
        </w:numPr>
        <w:tabs>
          <w:tab w:val="clear" w:pos="720"/>
          <w:tab w:val="left" w:pos="360" w:leader="none"/>
        </w:tabs>
        <w:rPr>
          <w:rFonts w:ascii="Arial" w:hAnsi="Arial" w:cs="Arial"/>
        </w:rPr>
      </w:pPr>
      <w:r>
        <w:rPr>
          <w:rFonts w:cs="Arial" w:ascii="Arial" w:hAnsi="Arial"/>
        </w:rPr>
        <w:t>Dumas</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2000-07-18T13:09:00Z</dcterms:created>
  <dc:creator>EPEC</dc:creator>
  <dc:description/>
  <dc:language>en-CA</dc:language>
  <cp:lastModifiedBy>EPEC</cp:lastModifiedBy>
  <cp:lastPrinted>2000-07-17T17:06:00Z</cp:lastPrinted>
  <dcterms:modified xsi:type="dcterms:W3CDTF">2000-07-18T14:28:00Z</dcterms:modified>
  <cp:revision>7</cp:revision>
  <dc:subject/>
  <dc:title>Pooling Technical Subcommittee Meeting</dc:title>
</cp:coreProperties>
</file>