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ISDA Collateral Committee Meetings</w:t>
      </w:r>
    </w:p>
    <w:p>
      <w:pPr>
        <w:pStyle w:val="Normal"/>
        <w:jc w:val="center"/>
        <w:rPr/>
      </w:pPr>
      <w:r>
        <w:rPr/>
        <w:t>February 6, 2001 – London</w:t>
      </w:r>
    </w:p>
    <w:p>
      <w:pPr>
        <w:pStyle w:val="Normal"/>
        <w:jc w:val="center"/>
        <w:rPr/>
      </w:pPr>
      <w:r>
        <w:rPr/>
        <w:t>February 16, 2001 – New York</w:t>
      </w:r>
    </w:p>
    <w:p>
      <w:pPr>
        <w:pStyle w:val="Normal"/>
        <w:jc w:val="center"/>
        <w:rPr>
          <w:b/>
          <w:bCs/>
          <w:sz w:val="28"/>
        </w:rPr>
      </w:pPr>
      <w:r>
        <w:rPr>
          <w:b/>
          <w:bCs/>
          <w:sz w:val="28"/>
        </w:rPr>
      </w:r>
    </w:p>
    <w:p>
      <w:pPr>
        <w:pStyle w:val="Heading4"/>
        <w:ind w:hanging="0" w:start="0"/>
        <w:rPr>
          <w:sz w:val="24"/>
        </w:rPr>
      </w:pPr>
      <w:r>
        <w:rPr>
          <w:sz w:val="24"/>
        </w:rPr>
        <w:t>Introduction</w:t>
      </w:r>
    </w:p>
    <w:p>
      <w:pPr>
        <w:pStyle w:val="Heading2"/>
        <w:ind w:hanging="0" w:start="0"/>
        <w:rPr>
          <w:b w:val="false"/>
          <w:bCs w:val="false"/>
        </w:rPr>
      </w:pPr>
      <w:r>
        <w:rPr>
          <w:b w:val="false"/>
          <w:bCs w:val="false"/>
        </w:rPr>
        <w:t>David Maloy welcomed ISDA Collateral and Documentation Committee members to the meetings in both New York and London.  Robert McWilliam in London and Michael Clarke in New York provided background information on the process leading to the new collateral documentation.  The initiative for new collateral documentation was partly the result of events in the late 1990s involving Long Term Capital Management and the Asian currency crisis.  These market events led to a series of meetings of the ISDA Collateral Working Group to discuss possible documentation initiatives.  Meetings were held in the fall of 1998 and July 1999 and resulted in the drafting of Instructions to Counsel in December 1999 and an Exposure Draft of the 2000 ISDA Credit Support Provisions dated March 14, 2000.</w:t>
      </w:r>
    </w:p>
    <w:p>
      <w:pPr>
        <w:pStyle w:val="Normal"/>
        <w:rPr>
          <w:b/>
          <w:bCs/>
        </w:rPr>
      </w:pPr>
      <w:r>
        <w:rPr>
          <w:b/>
          <w:bCs/>
        </w:rPr>
      </w:r>
    </w:p>
    <w:p>
      <w:pPr>
        <w:pStyle w:val="BodyText"/>
        <w:rPr/>
      </w:pPr>
      <w:r>
        <w:rPr/>
        <w:t>The objectives of the new documentation included:  (i) incorporating practitioner elements in order to make the document more user-friendly and accessible to a broader audience; (ii) providing an aspirational approach, in the sense of improving the state of market practice; (iii) developing more predictable practitioner behavior; (iv) closing the gap between what was included in the documentation and what practitioners were actually doing; and (v) ensuring that the money invested by institutions, law firms and ISDA on collateral documentation was not wasted.</w:t>
      </w:r>
    </w:p>
    <w:p>
      <w:pPr>
        <w:pStyle w:val="Normal"/>
        <w:rPr/>
      </w:pPr>
      <w:r>
        <w:rPr/>
      </w:r>
    </w:p>
    <w:p>
      <w:pPr>
        <w:pStyle w:val="BodyText"/>
        <w:rPr/>
      </w:pPr>
      <w:r>
        <w:rPr/>
        <w:t xml:space="preserve">Once the Exposure Draft was circulated, ISDA members were given the opportunity to comment.  ISDA reviewed all member comments and responded in writing to each institution by the end of August 2000.  A revised draft was developed as a result of member input and meetings of the ISDA Collateral Working Group were held in September and December 2000. </w:t>
      </w:r>
    </w:p>
    <w:p>
      <w:pPr>
        <w:pStyle w:val="BodyText"/>
        <w:rPr/>
      </w:pPr>
      <w:r>
        <w:rPr/>
      </w:r>
    </w:p>
    <w:p>
      <w:pPr>
        <w:pStyle w:val="BodyText"/>
        <w:rPr/>
      </w:pPr>
      <w:r>
        <w:rPr/>
        <w:t>At the same time that ISDA was drafting new collateral documentation, the President’s Working Group, or G14, was formed, led by Steve Thieke and Gerald Corrigan.  Many of the objectives of the G14 were being addressed through ISDA’s development of new collateral documentation.</w:t>
      </w:r>
    </w:p>
    <w:p>
      <w:pPr>
        <w:pStyle w:val="BodyText"/>
        <w:rPr/>
      </w:pPr>
      <w:r>
        <w:rPr/>
      </w:r>
    </w:p>
    <w:p>
      <w:pPr>
        <w:pStyle w:val="BodyText"/>
        <w:rPr/>
      </w:pPr>
      <w:r>
        <w:rPr/>
        <w:t>On January 22, 2001, the newly named 2001 ISDA Margin Provisions were distributed to the ISDA Collateral and Documentation Committees.  Members were given four weeks to comment on the new draft.  A revised draft will be distributed the week of March 12.</w:t>
      </w:r>
    </w:p>
    <w:p>
      <w:pPr>
        <w:pStyle w:val="BodyText"/>
        <w:rPr/>
      </w:pPr>
      <w:r>
        <w:rPr/>
      </w:r>
    </w:p>
    <w:p>
      <w:pPr>
        <w:pStyle w:val="BodyText"/>
        <w:rPr>
          <w:u w:val="single"/>
        </w:rPr>
      </w:pPr>
      <w:r>
        <w:rPr>
          <w:u w:val="single"/>
        </w:rPr>
        <w:t>The 2001 ISDA Margin Provisions</w:t>
      </w:r>
    </w:p>
    <w:p>
      <w:pPr>
        <w:pStyle w:val="BodyText"/>
        <w:rPr/>
      </w:pPr>
      <w:r>
        <w:rPr/>
        <w:t>Kimberly Summe provided the London and New York participants with an overview of the structure of the Provisions and the significant changes that were made to the Exposure Draft.  Those changes included the removal of the provisions on the exchange of portfolio information, the alteration of the structure of the document, so that operative provisions were at the beginning of the document and definitions were at the end and the re-drafting of the definitions section to ensure that a plain English approach was utilized.  Ms. Summe also explained how the Provisions were an aspirational document that many institutions would want to adopt, but counterparties still had the choice to continue using their existing Credit Support Annexes or to opt for an Amendment to the New York Law and/or English Law Credit Support Annex.  Lastly, Ms. Summe indicated that the operative provisions in the Provisions were identical to those in the Amendment.</w:t>
      </w:r>
    </w:p>
    <w:p>
      <w:pPr>
        <w:pStyle w:val="Heading3"/>
        <w:ind w:hanging="0" w:start="0"/>
        <w:jc w:val="both"/>
        <w:rPr>
          <w:b w:val="false"/>
          <w:bCs w:val="false"/>
        </w:rPr>
      </w:pPr>
      <w:r>
        <w:rPr>
          <w:b w:val="false"/>
          <w:bCs w:val="false"/>
        </w:rPr>
        <w:t xml:space="preserve">  </w:t>
      </w:r>
    </w:p>
    <w:p>
      <w:pPr>
        <w:pStyle w:val="Heading3"/>
        <w:ind w:hanging="0" w:start="0"/>
        <w:rPr>
          <w:b w:val="false"/>
          <w:bCs w:val="false"/>
        </w:rPr>
      </w:pPr>
      <w:r>
        <w:rPr>
          <w:b w:val="false"/>
          <w:bCs w:val="false"/>
          <w:u w:val="single"/>
        </w:rPr>
        <w:t>Amendment to the Credit Support Annexes</w:t>
      </w:r>
    </w:p>
    <w:p>
      <w:pPr>
        <w:pStyle w:val="BodyText"/>
        <w:rPr/>
      </w:pPr>
      <w:r>
        <w:rPr/>
        <w:t xml:space="preserve">David Maloy, at both the London and New York meetings, discussed the definitional component of the Amendments, highlighting the new definitions of Calling Party, Call Recipient, Settlement Date, Notification Time and Transfer.  Mr. Maloy then addressed the transfer timing provisions and explained how the new timeframes operate.   Mr. Maloy also commented on the mechanics of the dispute resolution procedures, giving hypothetical examples, and addressed the substitution/exchange provisions. </w:t>
      </w:r>
    </w:p>
    <w:p>
      <w:pPr>
        <w:pStyle w:val="BodyText"/>
        <w:rPr/>
      </w:pPr>
      <w:r>
        <w:rPr/>
      </w:r>
    </w:p>
    <w:p>
      <w:pPr>
        <w:pStyle w:val="BodyText"/>
        <w:rPr/>
      </w:pPr>
      <w:r>
        <w:rPr>
          <w:i/>
          <w:iCs/>
        </w:rPr>
        <w:t xml:space="preserve">Questions in London.  </w:t>
      </w:r>
      <w:r>
        <w:rPr/>
        <w:t>Two participants inquired about the tightness of the timing provisions.  Mr. Clarke responded that the document was an aspirational one, drafted with the objective of resolving some of the problems highlighted by market events in the late 1990s.  It was also noted that if certain institutions could not meet the proposed timing requirements, those institutions could continue to use their existing Credit Support Annexes.  However, it was stated that the market was moving toward the tighter timeframes as a way of reducing market risk.</w:t>
      </w:r>
    </w:p>
    <w:p>
      <w:pPr>
        <w:pStyle w:val="BodyText"/>
        <w:rPr/>
      </w:pPr>
      <w:r>
        <w:rPr/>
      </w:r>
    </w:p>
    <w:p>
      <w:pPr>
        <w:pStyle w:val="BodyText"/>
        <w:rPr/>
      </w:pPr>
      <w:r>
        <w:rPr/>
        <w:t>A participant inquired about the meaning of Lock-up Margin.  It was explained that Lock-up Margin was a separate amount provided by a counterparty upon agreement and that such amount was not subject to any calculation relating to set-off and thus was an “in the drawer” amount.</w:t>
      </w:r>
    </w:p>
    <w:p>
      <w:pPr>
        <w:pStyle w:val="BodyText"/>
        <w:rPr/>
      </w:pPr>
      <w:r>
        <w:rPr/>
      </w:r>
    </w:p>
    <w:p>
      <w:pPr>
        <w:pStyle w:val="BodyText"/>
        <w:rPr/>
      </w:pPr>
      <w:r>
        <w:rPr/>
        <w:t>A participant asked about the meaning of the term “initiate”.  It was agreed that this term would be defined in the new draft.</w:t>
      </w:r>
    </w:p>
    <w:p>
      <w:pPr>
        <w:pStyle w:val="BodyText"/>
        <w:rPr/>
      </w:pPr>
      <w:r>
        <w:rPr/>
      </w:r>
    </w:p>
    <w:p>
      <w:pPr>
        <w:pStyle w:val="BodyText"/>
        <w:rPr/>
      </w:pPr>
      <w:r>
        <w:rPr/>
        <w:t>A participant asked about reconciliation procedures.  Mr. Maloy responded that ISDA was discussing the possible sharing of a reconciliation tool developed by an institution.</w:t>
      </w:r>
    </w:p>
    <w:p>
      <w:pPr>
        <w:pStyle w:val="BodyText"/>
        <w:rPr/>
      </w:pPr>
      <w:r>
        <w:rPr/>
      </w:r>
    </w:p>
    <w:p>
      <w:pPr>
        <w:pStyle w:val="BodyText"/>
        <w:rPr/>
      </w:pPr>
      <w:r>
        <w:rPr/>
        <w:t>A participant asked why the Calling Party has to do “all the work” with respect to the dispute resolution procedures.  It was explained that the Calling Party has the most incentive to obtain the requested margin.  It was also asked why the procedures were different between Section 1.5(a) and Section 1.5(b) of the Provisions.  It was agreed that Section 1.5 would be reconsidered.</w:t>
      </w:r>
    </w:p>
    <w:p>
      <w:pPr>
        <w:pStyle w:val="BodyText"/>
        <w:rPr/>
      </w:pPr>
      <w:r>
        <w:rPr/>
      </w:r>
    </w:p>
    <w:p>
      <w:pPr>
        <w:pStyle w:val="BodyText"/>
        <w:rPr/>
      </w:pPr>
      <w:r>
        <w:rPr/>
        <w:t>A participant asked how Parts could be combined, so that, for example, Part 4 could apply to Eligible Margin in the form of JGBs and Part 2 could apply to US Treasuries.  It was agreed that this would be addressed in the new draft.</w:t>
      </w:r>
    </w:p>
    <w:p>
      <w:pPr>
        <w:pStyle w:val="BodyText"/>
        <w:rPr/>
      </w:pPr>
      <w:r>
        <w:rPr/>
      </w:r>
    </w:p>
    <w:p>
      <w:pPr>
        <w:pStyle w:val="BodyText"/>
        <w:rPr/>
      </w:pPr>
      <w:r>
        <w:rPr>
          <w:i/>
          <w:iCs/>
        </w:rPr>
        <w:t xml:space="preserve">Questions in New York.  </w:t>
      </w:r>
      <w:r>
        <w:rPr/>
        <w:t>A participant inquired whether the Settlement Date for Cash should not be the same Business Day, rather than the next Business Day.  It was agreed that this issue would be addressed in the next draft.  A participant inquired about those institutions that might not be able to meet the new tighter timing requirements. Mr. Maloy responded that the group attempted to liberalize in the document where possible and stated that client suitability was an issue for counterparties to consider.  Mr. Clarke added that the repurchase market has the tightest timeframes, so it was felt that this type of timeframe would be a beneficial benchmark. Also, Mr. Clarke pointed out that the current Credit Support Annexes will remain valid and are not being replaced, so any party that feels uncomfortable with the new timeframes can still use the existing documentation.</w:t>
      </w:r>
    </w:p>
    <w:p>
      <w:pPr>
        <w:pStyle w:val="Normal"/>
        <w:jc w:val="both"/>
        <w:rPr/>
      </w:pPr>
      <w:r>
        <w:rPr/>
      </w:r>
    </w:p>
    <w:p>
      <w:pPr>
        <w:pStyle w:val="Normal"/>
        <w:jc w:val="both"/>
        <w:rPr/>
      </w:pPr>
      <w:r>
        <w:rPr/>
        <w:t>A participant asked whether the assumption in the Provisions was that every day qualified as a Valuation Date.  Mr. Maloy stated that if a party wanted to substitute margin, the margin is marked to market every 24 hours and this also carried certain regulatory benefits.  It was agreed that the Valuation Date concept should match the Settlement Date concept.</w:t>
      </w:r>
    </w:p>
    <w:p>
      <w:pPr>
        <w:pStyle w:val="Normal"/>
        <w:jc w:val="both"/>
        <w:rPr/>
      </w:pPr>
      <w:r>
        <w:rPr/>
      </w:r>
    </w:p>
    <w:p>
      <w:pPr>
        <w:pStyle w:val="Normal"/>
        <w:jc w:val="both"/>
        <w:rPr/>
      </w:pPr>
      <w:r>
        <w:rPr/>
        <w:t>A participant suggested that some finality to the dispute resolution process in Section 1.5 of the Provisions be included.  It was agreed that the concept of “initiate” needed to be included in the next draft, with consideration given to the distinction between “initiation” and “completion”.   It was also stated that the gap between any Undisputed Amount and the amount the Calling Party calls for, in a daily valuation situation, could be significant.  One suggestion was that if two dealers submit a quote within a certain percentage, then that quote would control and that party’s methodology would apply.  Another New York participant stated that perhaps the concept of reasonable insecurity could be introduced.</w:t>
      </w:r>
    </w:p>
    <w:p>
      <w:pPr>
        <w:pStyle w:val="Normal"/>
        <w:jc w:val="both"/>
        <w:rPr/>
      </w:pPr>
      <w:r>
        <w:rPr/>
      </w:r>
    </w:p>
    <w:p>
      <w:pPr>
        <w:pStyle w:val="Normal"/>
        <w:jc w:val="both"/>
        <w:rPr/>
      </w:pPr>
      <w:r>
        <w:rPr/>
        <w:t>A participant asked whether written notice could be included in the definition set forth in Section 1.3.  It was agreed that the definition would be revised and a form notice would be provided.  The issue of what occurs if a party fails to send a notice will also be considered.</w:t>
      </w:r>
    </w:p>
    <w:p>
      <w:pPr>
        <w:pStyle w:val="Normal"/>
        <w:jc w:val="both"/>
        <w:rPr/>
      </w:pPr>
      <w:r>
        <w:rPr/>
      </w:r>
    </w:p>
    <w:p>
      <w:pPr>
        <w:pStyle w:val="Normal"/>
        <w:jc w:val="both"/>
        <w:rPr/>
      </w:pPr>
      <w:r>
        <w:rPr/>
        <w:t>Ms. Summe stated at each meeting comments on the Provisions and Amendments should be submitted to her by February 23, 2001.  It was agreed that a revised draft would be distributed the week of March 12, 2001.</w:t>
      </w:r>
    </w:p>
    <w:p>
      <w:pPr>
        <w:pStyle w:val="Normal"/>
        <w:jc w:val="both"/>
        <w:rPr/>
      </w:pPr>
      <w:r>
        <w:rPr/>
      </w:r>
    </w:p>
    <w:p>
      <w:pPr>
        <w:pStyle w:val="Normal"/>
        <w:jc w:val="both"/>
        <w:rPr>
          <w:u w:val="single"/>
        </w:rPr>
      </w:pPr>
      <w:r>
        <w:rPr>
          <w:u w:val="single"/>
        </w:rPr>
        <w:t>Legal Opinions</w:t>
      </w:r>
    </w:p>
    <w:p>
      <w:pPr>
        <w:pStyle w:val="Normal"/>
        <w:jc w:val="both"/>
        <w:rPr/>
      </w:pPr>
      <w:r>
        <w:rPr/>
        <w:t>At the London and New York meetings, Ms. Summe informed participants of the availability of the 2000 netting opinion updates.  A participant in the London meeting inquired whether opinions would be sought from existing collateral opinions counsel with respect to the new documentation.  Ms. Summe later distributed an email to the Collateral and Documentation Committees indicating that such an update would be requested from collateral opinions counsel once the new documentation was finalized.  These opinions would be made available to members.</w:t>
      </w:r>
    </w:p>
    <w:p>
      <w:pPr>
        <w:pStyle w:val="Normal"/>
        <w:jc w:val="both"/>
        <w:rPr/>
      </w:pPr>
      <w:r>
        <w:rPr/>
      </w:r>
    </w:p>
    <w:p>
      <w:pPr>
        <w:pStyle w:val="Heading5"/>
        <w:ind w:hanging="0" w:start="0"/>
        <w:rPr/>
      </w:pPr>
      <w:r>
        <w:rPr/>
        <w:t>Basle Capital Accord Proposals</w:t>
      </w:r>
    </w:p>
    <w:p>
      <w:pPr>
        <w:pStyle w:val="Normal"/>
        <w:jc w:val="both"/>
        <w:rPr/>
      </w:pPr>
      <w:r>
        <w:rPr/>
        <w:t>Richard Metcalfe, Co-Head of ISDA’s European Office, presented information to the London meeting on the Basle Capital Accords.  His discussion included a review of the scope of the proposed Accord; calculation of charges and the three pillars of the proposed Accord; haircuts; maturity mismatches; and operational risk considerations.</w:t>
      </w:r>
    </w:p>
    <w:p>
      <w:pPr>
        <w:pStyle w:val="Normal"/>
        <w:jc w:val="both"/>
        <w:rPr/>
      </w:pPr>
      <w:r>
        <w:rPr/>
      </w:r>
    </w:p>
    <w:p>
      <w:pPr>
        <w:pStyle w:val="Heading5"/>
        <w:ind w:hanging="0" w:start="0"/>
        <w:rPr>
          <w:u w:val="none"/>
        </w:rPr>
      </w:pPr>
      <w:r>
        <w:rPr/>
        <w:t>Withholding Tax</w:t>
      </w:r>
    </w:p>
    <w:p>
      <w:pPr>
        <w:pStyle w:val="Normal"/>
        <w:jc w:val="both"/>
        <w:rPr/>
      </w:pPr>
      <w:r>
        <w:rPr/>
        <w:t>Olivier de Ryckere of KBC Bank presented information on withholding tax issues to the London meeting and Candace Barrett of Royal Bank of Canada presented information to the New York meeting.  Mr. de Ryckere and Ms. Barrett noted that useful guidance on the issue could be found in the User’s Guide to the 1992 ISDA Master Agreement on pages 39-42 and on page 50 of the User’s Guide to the English Law Credit Support Annex.</w:t>
      </w:r>
    </w:p>
    <w:p>
      <w:pPr>
        <w:pStyle w:val="Normal"/>
        <w:jc w:val="both"/>
        <w:rPr/>
      </w:pPr>
      <w:r>
        <w:rPr/>
      </w:r>
    </w:p>
    <w:p>
      <w:pPr>
        <w:pStyle w:val="Heading5"/>
        <w:ind w:hanging="0" w:start="0"/>
        <w:rPr/>
      </w:pPr>
      <w:r>
        <w:rPr/>
        <w:t>Reconciliation</w:t>
      </w:r>
    </w:p>
    <w:p>
      <w:pPr>
        <w:pStyle w:val="Normal"/>
        <w:jc w:val="both"/>
        <w:rPr/>
      </w:pPr>
      <w:r>
        <w:rPr/>
        <w:t>Mr. Clarke presented information on reconciliation practices and market objectives.  He discussed the most common cause of disputes, population matching, and the second most common cause, valuations</w:t>
      </w:r>
      <w:r>
        <w:rPr>
          <w:b/>
          <w:bCs/>
        </w:rPr>
        <w:t xml:space="preserve">.   </w:t>
      </w:r>
      <w:r>
        <w:rPr/>
        <w:t>Mr. Clarke also noted that counterparties may book trades in different ways.  Mr. Clarke stated that there were several issues impacting the development of effective market-wide reconciliation:  staffing issues; technology limitations; costs; non-standard tools; and prioritization of reconciliation requests.</w:t>
      </w:r>
    </w:p>
    <w:p>
      <w:pPr>
        <w:pStyle w:val="Normal"/>
        <w:jc w:val="both"/>
        <w:rPr/>
      </w:pPr>
      <w:r>
        <w:rPr/>
      </w:r>
    </w:p>
    <w:p>
      <w:pPr>
        <w:pStyle w:val="Heading5"/>
        <w:ind w:hanging="0" w:start="0"/>
        <w:rPr/>
      </w:pPr>
      <w:r>
        <w:rPr/>
        <w:t>Margin Survey</w:t>
      </w:r>
    </w:p>
    <w:p>
      <w:pPr>
        <w:pStyle w:val="Normal"/>
        <w:jc w:val="both"/>
        <w:rPr/>
      </w:pPr>
      <w:r>
        <w:rPr/>
        <w:t xml:space="preserve">Louise Marshall, Policy Director of the Americas, stated at the London and New York meetings that a margin survey would be distributed electronically on February 22, 2001.  Institutions were encouraged to complete the survey and return their responses by March 8, 2001.  Arthur Andersen will collate the findings and strict anonymity and confidentiality of information will be observed.   </w:t>
      </w:r>
    </w:p>
    <w:p>
      <w:pPr>
        <w:pStyle w:val="Normal"/>
        <w:jc w:val="both"/>
        <w:rPr/>
      </w:pPr>
      <w:r>
        <w:rPr/>
      </w:r>
    </w:p>
    <w:p>
      <w:pPr>
        <w:pStyle w:val="Heading5"/>
        <w:ind w:hanging="0" w:start="0"/>
        <w:rPr/>
      </w:pPr>
      <w:r>
        <w:rPr/>
        <w:t>Case Study</w:t>
      </w:r>
    </w:p>
    <w:p>
      <w:pPr>
        <w:pStyle w:val="Normal"/>
        <w:jc w:val="both"/>
        <w:rPr/>
      </w:pPr>
      <w:r>
        <w:rPr/>
        <w:t>The London and New York participants worked through a mock negotiation of Annex A, or the Supplement.  Participants were encouraged to submit any comments on the Supplement to Kimberly Summe by February 23, 2001.</w:t>
      </w:r>
    </w:p>
    <w:p>
      <w:pPr>
        <w:pStyle w:val="Normal"/>
        <w:jc w:val="both"/>
        <w:rPr/>
      </w:pPr>
      <w:r>
        <w:rPr/>
      </w:r>
    </w:p>
    <w:p>
      <w:pPr>
        <w:pStyle w:val="Normal"/>
        <w:jc w:val="both"/>
        <w:rPr/>
      </w:pPr>
      <w:r>
        <w:rPr/>
      </w:r>
    </w:p>
    <w:p>
      <w:pPr>
        <w:pStyle w:val="Normal"/>
        <w:jc w:val="both"/>
        <w:rPr/>
      </w:pPr>
      <w:r>
        <w:rPr/>
        <w:t xml:space="preserve"> </w:t>
      </w:r>
    </w:p>
    <w:p>
      <w:pPr>
        <w:pStyle w:val="Normal"/>
        <w:jc w:val="both"/>
        <w:rPr/>
      </w:pPr>
      <w:r>
        <w:rPr/>
      </w:r>
    </w:p>
    <w:p>
      <w:pPr>
        <w:pStyle w:val="Normal"/>
        <w:jc w:val="both"/>
        <w:rPr/>
      </w:pPr>
      <w:r>
        <w:rPr/>
      </w:r>
    </w:p>
    <w:sectPr>
      <w:type w:val="nextPage"/>
      <w:pgSz w:w="12240" w:h="15840"/>
      <w:pgMar w:left="720" w:right="720" w:gutter="0" w:header="0" w:top="1440" w:footer="0" w:bottom="144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jc w:val="both"/>
      <w:outlineLvl w:val="1"/>
    </w:pPr>
    <w:rPr>
      <w:b/>
      <w:bCs/>
    </w:rPr>
  </w:style>
  <w:style w:type="paragraph" w:styleId="Heading3">
    <w:name w:val="heading 3"/>
    <w:basedOn w:val="Normal"/>
    <w:next w:val="Normal"/>
    <w:qFormat/>
    <w:pPr>
      <w:keepNext w:val="true"/>
      <w:numPr>
        <w:ilvl w:val="2"/>
        <w:numId w:val="1"/>
      </w:numPr>
      <w:outlineLvl w:val="2"/>
    </w:pPr>
    <w:rPr>
      <w:b/>
      <w:bCs/>
    </w:rPr>
  </w:style>
  <w:style w:type="paragraph" w:styleId="Heading4">
    <w:name w:val="heading 4"/>
    <w:basedOn w:val="Normal"/>
    <w:next w:val="Normal"/>
    <w:qFormat/>
    <w:pPr>
      <w:keepNext w:val="true"/>
      <w:numPr>
        <w:ilvl w:val="3"/>
        <w:numId w:val="1"/>
      </w:numPr>
      <w:outlineLvl w:val="3"/>
    </w:pPr>
    <w:rPr>
      <w:sz w:val="28"/>
      <w:u w:val="single"/>
    </w:rPr>
  </w:style>
  <w:style w:type="paragraph" w:styleId="Heading5">
    <w:name w:val="heading 5"/>
    <w:basedOn w:val="Normal"/>
    <w:next w:val="Normal"/>
    <w:qFormat/>
    <w:pPr>
      <w:keepNext w:val="true"/>
      <w:numPr>
        <w:ilvl w:val="4"/>
        <w:numId w:val="1"/>
      </w:numPr>
      <w:jc w:val="both"/>
      <w:outlineLvl w:val="4"/>
    </w:pPr>
    <w:rPr>
      <w:u w:val="single"/>
    </w:rPr>
  </w:style>
  <w:style w:type="character" w:styleId="WW8Num1z0">
    <w:name w:val="WW8Num1z0"/>
    <w:qFormat/>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jc w:val="center"/>
    </w:pPr>
    <w:rPr>
      <w:b/>
      <w:bCs/>
      <w:sz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2001-02-22T19:34:00Z</dcterms:created>
  <dc:creator>BHANLON</dc:creator>
  <dc:description/>
  <dc:language>en-CA</dc:language>
  <cp:lastModifiedBy>VALUED SONY CUSTOMER</cp:lastModifiedBy>
  <cp:lastPrinted>2001-02-22T18:52:00Z</cp:lastPrinted>
  <dcterms:modified xsi:type="dcterms:W3CDTF">2001-02-22T21:23:00Z</dcterms:modified>
  <cp:revision>18</cp:revision>
  <dc:subject/>
  <dc:title>I   Maloy – Welcoming remarks</dc:title>
</cp:coreProperties>
</file>