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before="400" w:after="120"/>
        <w:rPr>
          <w:sz w:val="44"/>
        </w:rPr>
      </w:pPr>
      <w:bookmarkStart w:id="0" w:name="Title"/>
      <w:bookmarkEnd w:id="0"/>
      <w:r>
        <w:rPr>
          <w:sz w:val="44"/>
        </w:rPr>
        <w:t>Interoffice Memo</w:t>
      </w:r>
    </w:p>
    <w:p>
      <w:pPr>
        <w:pStyle w:val="MessageHeaderFirst"/>
        <w:rPr/>
      </w:pPr>
      <w:bookmarkStart w:id="1" w:name="Title"/>
      <w:bookmarkEnd w:id="1"/>
      <w:r>
        <w:rPr>
          <w:rStyle w:val="MessageHeaderLabel"/>
        </w:rPr>
        <w:t>Date:</w:t>
        <w:tab/>
      </w:r>
      <w:r>
        <w:rPr/>
        <w:t>01/20/2000</w:t>
      </w:r>
    </w:p>
    <w:p>
      <w:pPr>
        <w:pStyle w:val="MessageHeader"/>
        <w:rPr/>
      </w:pPr>
      <w:r>
        <w:rPr>
          <w:rStyle w:val="MessageHeaderLabel"/>
        </w:rPr>
        <w:t>To:</w:t>
        <w:tab/>
      </w:r>
      <w:r>
        <w:rPr/>
        <w:t>Attendees of the CES Meeting Held 1/18/00 in 49C1</w:t>
      </w:r>
    </w:p>
    <w:p>
      <w:pPr>
        <w:pStyle w:val="MessageHeader"/>
        <w:rPr/>
      </w:pPr>
      <w:r>
        <w:rPr>
          <w:rStyle w:val="MessageHeaderLabel"/>
        </w:rPr>
        <w:t>Cc:</w:t>
        <w:tab/>
      </w:r>
      <w:r>
        <w:rPr/>
        <w:t>Mark Friedman, Brent Price</w:t>
      </w:r>
    </w:p>
    <w:p>
      <w:pPr>
        <w:pStyle w:val="MessageHeader"/>
        <w:rPr/>
      </w:pPr>
      <w:r>
        <w:rPr>
          <w:rStyle w:val="MessageHeaderLabel"/>
        </w:rPr>
        <w:t>From:</w:t>
        <w:tab/>
      </w:r>
      <w:r>
        <w:rPr/>
        <w:t>Connie Sutton</w:t>
      </w:r>
    </w:p>
    <w:p>
      <w:pPr>
        <w:pStyle w:val="MessageHeaderLast"/>
        <w:pBdr>
          <w:bottom w:val="single" w:sz="6" w:space="1" w:color="000000"/>
        </w:pBdr>
        <w:rPr>
          <w:rStyle w:val="MessageHeaderLabel"/>
        </w:rPr>
      </w:pPr>
      <w:r>
        <w:rPr>
          <w:rStyle w:val="MessageHeaderLabel"/>
        </w:rPr>
        <w:t>RE:</w:t>
        <w:tab/>
      </w:r>
      <w:r>
        <w:rPr/>
        <w:t>CES Meeting Minutes</w:t>
        <w:tab/>
      </w:r>
    </w:p>
    <w:p>
      <w:pPr>
        <w:pStyle w:val="BodyText"/>
        <w:rPr/>
      </w:pPr>
      <w:r>
        <w:rPr/>
        <w:t>Below is the minutes of the meeting held on January 20, 2000, in Room 49C1:</w:t>
      </w:r>
    </w:p>
    <w:p>
      <w:pPr>
        <w:pStyle w:val="BodyText"/>
        <w:numPr>
          <w:ilvl w:val="0"/>
          <w:numId w:val="4"/>
        </w:numPr>
        <w:rPr/>
      </w:pPr>
      <w:r>
        <w:rPr/>
        <w:t>The original contract for the Purchase of CES business involves the following:</w:t>
      </w:r>
    </w:p>
    <w:p>
      <w:pPr>
        <w:pStyle w:val="BodyText"/>
        <w:numPr>
          <w:ilvl w:val="0"/>
          <w:numId w:val="10"/>
        </w:numPr>
        <w:tabs>
          <w:tab w:val="clear" w:pos="720"/>
        </w:tabs>
        <w:ind w:hanging="360" w:start="720" w:end="0"/>
        <w:rPr/>
      </w:pPr>
      <w:r>
        <w:rPr/>
        <w:t>ENA is to be the Supplier for wholesale business to CES wholesale customers.</w:t>
      </w:r>
    </w:p>
    <w:p>
      <w:pPr>
        <w:pStyle w:val="BodyText"/>
        <w:numPr>
          <w:ilvl w:val="0"/>
          <w:numId w:val="10"/>
        </w:numPr>
        <w:tabs>
          <w:tab w:val="clear" w:pos="720"/>
        </w:tabs>
        <w:ind w:hanging="360" w:start="720" w:end="0"/>
        <w:rPr/>
      </w:pPr>
      <w:r>
        <w:rPr/>
        <w:t>ENA will manage the Asset piece of CES business.</w:t>
      </w:r>
    </w:p>
    <w:p>
      <w:pPr>
        <w:pStyle w:val="BodyText"/>
        <w:numPr>
          <w:ilvl w:val="0"/>
          <w:numId w:val="10"/>
        </w:numPr>
        <w:tabs>
          <w:tab w:val="clear" w:pos="720"/>
        </w:tabs>
        <w:ind w:hanging="360" w:start="720" w:end="0"/>
        <w:rPr/>
      </w:pPr>
      <w:r>
        <w:rPr/>
        <w:t>ENA will be the supplier to the city gates or a direct-connect for CES Retail business and title is transferred to CES is at the city gate. Under no circumstances is ENA to bill or ship direct to a CES Retail customer.</w:t>
      </w:r>
    </w:p>
    <w:p>
      <w:pPr>
        <w:pStyle w:val="BodyText"/>
        <w:numPr>
          <w:ilvl w:val="0"/>
          <w:numId w:val="10"/>
        </w:numPr>
        <w:tabs>
          <w:tab w:val="clear" w:pos="720"/>
        </w:tabs>
        <w:ind w:hanging="360" w:start="720" w:end="0"/>
        <w:rPr/>
      </w:pPr>
      <w:r>
        <w:rPr/>
        <w:t>ENA will be the supplier for CES on the Prepaid contracts that CES has and title is transferred to CES is at a specified meter.</w:t>
      </w:r>
    </w:p>
    <w:p>
      <w:pPr>
        <w:pStyle w:val="BodyText"/>
        <w:numPr>
          <w:ilvl w:val="0"/>
          <w:numId w:val="3"/>
        </w:numPr>
        <w:rPr/>
      </w:pPr>
      <w:r>
        <w:rPr/>
        <w:t xml:space="preserve">Pre-consent deals &amp; contracts that are entered in the system prior to December 31, 1999 should be attached to a CES – Counterparty and the CES contract is to be attached. </w:t>
      </w:r>
    </w:p>
    <w:p>
      <w:pPr>
        <w:pStyle w:val="BodyText"/>
        <w:numPr>
          <w:ilvl w:val="0"/>
          <w:numId w:val="3"/>
        </w:numPr>
        <w:rPr/>
      </w:pPr>
      <w:r>
        <w:rPr/>
        <w:t>Once consent is received the counterparty name is changed from CES – Counterparty to the Counterparty Legal Name and Deal Validation is to verify the same contract number is attached to all of the deals entered prior to December 31, 1999.</w:t>
      </w:r>
    </w:p>
    <w:p>
      <w:pPr>
        <w:pStyle w:val="BodyText"/>
        <w:numPr>
          <w:ilvl w:val="0"/>
          <w:numId w:val="3"/>
        </w:numPr>
        <w:rPr/>
      </w:pPr>
      <w:r>
        <w:rPr/>
        <w:t xml:space="preserve">New Deals entered after January 1, 2000 should be entered as ENA and the Counterparty no matter whether ENA has the consent or not. If a new counterparty does not have a contract with ENA then a GTC should be requested. </w:t>
      </w:r>
    </w:p>
    <w:p>
      <w:pPr>
        <w:pStyle w:val="BodyText"/>
        <w:numPr>
          <w:ilvl w:val="0"/>
          <w:numId w:val="3"/>
        </w:numPr>
        <w:rPr/>
      </w:pPr>
      <w:r>
        <w:rPr/>
        <w:t>Under no circumstances is ENA to bill a CES Retail customer nor is ENA to buyback gas behind the city gate from CES. Any purchases behind the gate are to be completed by EES.</w:t>
      </w:r>
    </w:p>
    <w:p>
      <w:pPr>
        <w:pStyle w:val="BodyText"/>
        <w:numPr>
          <w:ilvl w:val="0"/>
          <w:numId w:val="5"/>
        </w:numPr>
        <w:rPr/>
      </w:pPr>
      <w:r>
        <w:rPr/>
        <w:t>The original Agreement between ENA &amp; CES involves several pieces of business that require Global Contracts to create separate contracts in order to identify the Supply piece each deal covers.</w:t>
      </w:r>
    </w:p>
    <w:tbl>
      <w:tblPr>
        <w:tblW w:w="8856" w:type="dxa"/>
        <w:jc w:val="start"/>
        <w:tblInd w:w="0" w:type="dxa"/>
        <w:tblLayout w:type="fixed"/>
        <w:tblCellMar>
          <w:top w:w="0" w:type="dxa"/>
          <w:start w:w="108" w:type="dxa"/>
          <w:bottom w:w="0" w:type="dxa"/>
          <w:end w:w="108" w:type="dxa"/>
        </w:tblCellMar>
      </w:tblPr>
      <w:tblGrid>
        <w:gridCol w:w="4428"/>
        <w:gridCol w:w="4428"/>
      </w:tblGrid>
      <w:tr>
        <w:trPr>
          <w:trHeight w:val="300" w:hRule="exact"/>
        </w:trPr>
        <w:tc>
          <w:tcPr>
            <w:tcW w:w="4428" w:type="dxa"/>
            <w:tcBorders>
              <w:top w:val="single" w:sz="4" w:space="0" w:color="000000"/>
              <w:start w:val="single" w:sz="4" w:space="0" w:color="000000"/>
              <w:bottom w:val="single" w:sz="4" w:space="0" w:color="000000"/>
              <w:end w:val="single" w:sz="4" w:space="0" w:color="000000"/>
            </w:tcBorders>
          </w:tcPr>
          <w:p>
            <w:pPr>
              <w:pStyle w:val="BodyText"/>
              <w:spacing w:before="0" w:after="220"/>
              <w:jc w:val="center"/>
              <w:rPr>
                <w:b/>
              </w:rPr>
            </w:pPr>
            <w:r>
              <w:rPr>
                <w:b/>
                <w:color w:val="000000"/>
                <w:lang w:eastAsia="en-US"/>
              </w:rPr>
              <w:t>Counterparty Name</w:t>
            </w:r>
          </w:p>
        </w:tc>
        <w:tc>
          <w:tcPr>
            <w:tcW w:w="4428" w:type="dxa"/>
            <w:tcBorders>
              <w:top w:val="single" w:sz="4" w:space="0" w:color="000000"/>
              <w:start w:val="single" w:sz="4" w:space="0" w:color="000000"/>
              <w:bottom w:val="single" w:sz="4" w:space="0" w:color="000000"/>
              <w:end w:val="single" w:sz="4" w:space="0" w:color="000000"/>
            </w:tcBorders>
          </w:tcPr>
          <w:p>
            <w:pPr>
              <w:pStyle w:val="BodyText"/>
              <w:spacing w:before="0" w:after="220"/>
              <w:jc w:val="center"/>
              <w:rPr>
                <w:b/>
              </w:rPr>
            </w:pPr>
            <w:r>
              <w:rPr>
                <w:b/>
                <w:color w:val="000000"/>
                <w:lang w:eastAsia="en-US"/>
              </w:rPr>
              <w:t>Global Contract Number</w:t>
            </w:r>
          </w:p>
        </w:tc>
      </w:tr>
      <w:tr>
        <w:trPr>
          <w:trHeight w:val="300" w:hRule="exact"/>
        </w:trPr>
        <w:tc>
          <w:tcPr>
            <w:tcW w:w="4428" w:type="dxa"/>
            <w:tcBorders>
              <w:top w:val="single" w:sz="4" w:space="0" w:color="000000"/>
              <w:start w:val="single" w:sz="4" w:space="0" w:color="000000"/>
              <w:bottom w:val="single" w:sz="4" w:space="0" w:color="000000"/>
              <w:end w:val="single" w:sz="4" w:space="0" w:color="000000"/>
            </w:tcBorders>
          </w:tcPr>
          <w:p>
            <w:pPr>
              <w:pStyle w:val="BodyText"/>
              <w:spacing w:before="0" w:after="220"/>
              <w:rPr>
                <w:sz w:val="18"/>
              </w:rPr>
            </w:pPr>
            <w:r>
              <w:rPr>
                <w:color w:val="000000"/>
                <w:sz w:val="18"/>
                <w:lang w:eastAsia="en-US"/>
              </w:rPr>
              <w:t xml:space="preserve">CES Asset Management </w:t>
            </w:r>
          </w:p>
        </w:tc>
        <w:tc>
          <w:tcPr>
            <w:tcW w:w="4428" w:type="dxa"/>
            <w:tcBorders>
              <w:top w:val="single" w:sz="4" w:space="0" w:color="000000"/>
              <w:start w:val="single" w:sz="4" w:space="0" w:color="000000"/>
              <w:bottom w:val="single" w:sz="4" w:space="0" w:color="000000"/>
              <w:end w:val="single" w:sz="4" w:space="0" w:color="000000"/>
            </w:tcBorders>
          </w:tcPr>
          <w:p>
            <w:pPr>
              <w:pStyle w:val="BodyText"/>
              <w:spacing w:before="0" w:after="220"/>
              <w:rPr>
                <w:sz w:val="18"/>
              </w:rPr>
            </w:pPr>
            <w:r>
              <w:rPr>
                <w:color w:val="000000"/>
                <w:sz w:val="18"/>
                <w:lang w:eastAsia="en-US"/>
              </w:rPr>
              <w:t>96031882</w:t>
            </w:r>
          </w:p>
        </w:tc>
      </w:tr>
      <w:tr>
        <w:trPr>
          <w:trHeight w:val="300" w:hRule="exact"/>
        </w:trPr>
        <w:tc>
          <w:tcPr>
            <w:tcW w:w="4428" w:type="dxa"/>
            <w:tcBorders>
              <w:top w:val="single" w:sz="4" w:space="0" w:color="000000"/>
              <w:start w:val="single" w:sz="4" w:space="0" w:color="000000"/>
              <w:bottom w:val="single" w:sz="4" w:space="0" w:color="000000"/>
              <w:end w:val="single" w:sz="4" w:space="0" w:color="000000"/>
            </w:tcBorders>
          </w:tcPr>
          <w:p>
            <w:pPr>
              <w:pStyle w:val="BodyText"/>
              <w:spacing w:before="0" w:after="220"/>
              <w:rPr>
                <w:sz w:val="18"/>
              </w:rPr>
            </w:pPr>
            <w:r>
              <w:rPr>
                <w:color w:val="000000"/>
                <w:sz w:val="18"/>
                <w:lang w:eastAsia="en-US"/>
              </w:rPr>
              <w:t>CES Gas Sales</w:t>
              <w:tab/>
            </w:r>
          </w:p>
        </w:tc>
        <w:tc>
          <w:tcPr>
            <w:tcW w:w="4428" w:type="dxa"/>
            <w:tcBorders>
              <w:top w:val="single" w:sz="4" w:space="0" w:color="000000"/>
              <w:start w:val="single" w:sz="4" w:space="0" w:color="000000"/>
              <w:bottom w:val="single" w:sz="4" w:space="0" w:color="000000"/>
              <w:end w:val="single" w:sz="4" w:space="0" w:color="000000"/>
            </w:tcBorders>
          </w:tcPr>
          <w:p>
            <w:pPr>
              <w:pStyle w:val="BodyText"/>
              <w:spacing w:before="0" w:after="220"/>
              <w:rPr>
                <w:sz w:val="18"/>
              </w:rPr>
            </w:pPr>
            <w:r>
              <w:rPr>
                <w:color w:val="000000"/>
                <w:sz w:val="18"/>
                <w:lang w:eastAsia="en-US"/>
              </w:rPr>
              <w:t>96031916</w:t>
            </w:r>
          </w:p>
        </w:tc>
      </w:tr>
      <w:tr>
        <w:trPr>
          <w:trHeight w:val="300" w:hRule="exact"/>
        </w:trPr>
        <w:tc>
          <w:tcPr>
            <w:tcW w:w="4428" w:type="dxa"/>
            <w:tcBorders>
              <w:top w:val="single" w:sz="4" w:space="0" w:color="000000"/>
              <w:start w:val="single" w:sz="4" w:space="0" w:color="000000"/>
              <w:bottom w:val="single" w:sz="4" w:space="0" w:color="000000"/>
              <w:end w:val="single" w:sz="4" w:space="0" w:color="000000"/>
            </w:tcBorders>
          </w:tcPr>
          <w:p>
            <w:pPr>
              <w:pStyle w:val="BodyText"/>
              <w:spacing w:before="0" w:after="220"/>
              <w:rPr>
                <w:sz w:val="18"/>
              </w:rPr>
            </w:pPr>
            <w:r>
              <w:rPr>
                <w:color w:val="000000"/>
                <w:sz w:val="18"/>
                <w:lang w:eastAsia="en-US"/>
              </w:rPr>
              <w:t>CES Prepaid Gas</w:t>
            </w:r>
          </w:p>
        </w:tc>
        <w:tc>
          <w:tcPr>
            <w:tcW w:w="4428" w:type="dxa"/>
            <w:tcBorders>
              <w:top w:val="single" w:sz="4" w:space="0" w:color="000000"/>
              <w:start w:val="single" w:sz="4" w:space="0" w:color="000000"/>
              <w:bottom w:val="single" w:sz="4" w:space="0" w:color="000000"/>
              <w:end w:val="single" w:sz="4" w:space="0" w:color="000000"/>
            </w:tcBorders>
          </w:tcPr>
          <w:p>
            <w:pPr>
              <w:pStyle w:val="BodyText"/>
              <w:spacing w:before="0" w:after="220"/>
              <w:rPr>
                <w:sz w:val="18"/>
              </w:rPr>
            </w:pPr>
            <w:r>
              <w:rPr>
                <w:color w:val="000000"/>
                <w:sz w:val="18"/>
                <w:lang w:eastAsia="en-US"/>
              </w:rPr>
              <w:t>96032019</w:t>
            </w:r>
          </w:p>
        </w:tc>
      </w:tr>
      <w:tr>
        <w:trPr>
          <w:trHeight w:val="300" w:hRule="exact"/>
        </w:trPr>
        <w:tc>
          <w:tcPr>
            <w:tcW w:w="4428" w:type="dxa"/>
            <w:tcBorders>
              <w:top w:val="single" w:sz="4" w:space="0" w:color="000000"/>
              <w:start w:val="single" w:sz="4" w:space="0" w:color="000000"/>
              <w:bottom w:val="single" w:sz="4" w:space="0" w:color="000000"/>
              <w:end w:val="single" w:sz="4" w:space="0" w:color="000000"/>
            </w:tcBorders>
          </w:tcPr>
          <w:p>
            <w:pPr>
              <w:pStyle w:val="BodyText"/>
              <w:spacing w:before="0" w:after="220"/>
              <w:rPr>
                <w:sz w:val="18"/>
              </w:rPr>
            </w:pPr>
            <w:r>
              <w:rPr>
                <w:color w:val="000000"/>
                <w:sz w:val="18"/>
                <w:lang w:eastAsia="en-US"/>
              </w:rPr>
              <w:t>CES CALP Exchange</w:t>
            </w:r>
          </w:p>
        </w:tc>
        <w:tc>
          <w:tcPr>
            <w:tcW w:w="4428" w:type="dxa"/>
            <w:tcBorders>
              <w:top w:val="single" w:sz="4" w:space="0" w:color="000000"/>
              <w:start w:val="single" w:sz="4" w:space="0" w:color="000000"/>
              <w:bottom w:val="single" w:sz="4" w:space="0" w:color="000000"/>
              <w:end w:val="single" w:sz="4" w:space="0" w:color="000000"/>
            </w:tcBorders>
          </w:tcPr>
          <w:p>
            <w:pPr>
              <w:pStyle w:val="BodyText"/>
              <w:spacing w:before="0" w:after="220"/>
              <w:rPr>
                <w:sz w:val="18"/>
              </w:rPr>
            </w:pPr>
            <w:r>
              <w:rPr>
                <w:color w:val="000000"/>
                <w:sz w:val="18"/>
                <w:lang w:eastAsia="en-US"/>
              </w:rPr>
              <w:t>96032253 (Market)</w:t>
            </w:r>
          </w:p>
        </w:tc>
      </w:tr>
      <w:tr>
        <w:trPr>
          <w:trHeight w:val="300" w:hRule="exact"/>
        </w:trPr>
        <w:tc>
          <w:tcPr>
            <w:tcW w:w="4428" w:type="dxa"/>
            <w:tcBorders>
              <w:top w:val="single" w:sz="4" w:space="0" w:color="000000"/>
              <w:start w:val="single" w:sz="4" w:space="0" w:color="000000"/>
              <w:bottom w:val="single" w:sz="4" w:space="0" w:color="000000"/>
              <w:end w:val="single" w:sz="4" w:space="0" w:color="000000"/>
            </w:tcBorders>
          </w:tcPr>
          <w:p>
            <w:pPr>
              <w:pStyle w:val="BodyText"/>
              <w:spacing w:before="0" w:after="220"/>
              <w:rPr>
                <w:sz w:val="18"/>
              </w:rPr>
            </w:pPr>
            <w:r>
              <w:rPr>
                <w:color w:val="000000"/>
                <w:sz w:val="18"/>
                <w:lang w:eastAsia="en-US"/>
              </w:rPr>
              <w:t>CES CALP Exchange</w:t>
            </w:r>
          </w:p>
        </w:tc>
        <w:tc>
          <w:tcPr>
            <w:tcW w:w="4428" w:type="dxa"/>
            <w:tcBorders>
              <w:top w:val="single" w:sz="4" w:space="0" w:color="000000"/>
              <w:start w:val="single" w:sz="4" w:space="0" w:color="000000"/>
              <w:bottom w:val="single" w:sz="4" w:space="0" w:color="000000"/>
              <w:end w:val="single" w:sz="4" w:space="0" w:color="000000"/>
            </w:tcBorders>
          </w:tcPr>
          <w:p>
            <w:pPr>
              <w:pStyle w:val="BodyText"/>
              <w:spacing w:before="0" w:after="220"/>
              <w:rPr>
                <w:sz w:val="18"/>
              </w:rPr>
            </w:pPr>
            <w:r>
              <w:rPr>
                <w:color w:val="000000"/>
                <w:sz w:val="18"/>
                <w:lang w:eastAsia="en-US"/>
              </w:rPr>
              <w:t>96032252 (Production)</w:t>
            </w:r>
          </w:p>
        </w:tc>
      </w:tr>
    </w:tbl>
    <w:p>
      <w:pPr>
        <w:pStyle w:val="BodyText"/>
        <w:spacing w:lineRule="atLeast" w:line="40" w:before="0" w:after="0"/>
        <w:jc w:val="start"/>
        <w:rPr/>
      </w:pPr>
      <w:r>
        <w:rPr/>
      </w:r>
    </w:p>
    <w:p>
      <w:pPr>
        <w:pStyle w:val="BodyText"/>
        <w:numPr>
          <w:ilvl w:val="0"/>
          <w:numId w:val="5"/>
        </w:numPr>
        <w:jc w:val="start"/>
        <w:rPr/>
      </w:pPr>
      <w:r>
        <w:rPr/>
        <w:t>Global Counterparty will set up 4 different Counterparties to identify the different parts of the Master contract in order to help Deal Validation with identifying which deal is covered under which contract.</w:t>
      </w:r>
      <w:r>
        <w:br w:type="page"/>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908"/>
        <w:gridCol w:w="3240"/>
        <w:gridCol w:w="3708"/>
      </w:tblGrid>
      <w:tr>
        <w:trPr/>
        <w:tc>
          <w:tcPr>
            <w:tcW w:w="1908"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b/>
                <w:color w:val="000000"/>
                <w:lang w:eastAsia="en-US"/>
              </w:rPr>
            </w:pPr>
            <w:r>
              <w:rPr>
                <w:b/>
                <w:color w:val="000000"/>
                <w:lang w:eastAsia="en-US"/>
              </w:rPr>
              <w:t>CP ID#</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b/>
                <w:color w:val="000000"/>
                <w:lang w:eastAsia="en-US"/>
              </w:rPr>
            </w:pPr>
            <w:r>
              <w:rPr>
                <w:b/>
                <w:color w:val="000000"/>
                <w:lang w:eastAsia="en-US"/>
              </w:rPr>
              <w:t>ERMS Short Name</w:t>
            </w:r>
          </w:p>
        </w:tc>
        <w:tc>
          <w:tcPr>
            <w:tcW w:w="3708"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b/>
                <w:color w:val="000000"/>
                <w:lang w:eastAsia="en-US"/>
              </w:rPr>
            </w:pPr>
            <w:r>
              <w:rPr>
                <w:b/>
                <w:color w:val="000000"/>
                <w:lang w:eastAsia="en-US"/>
              </w:rPr>
              <w:t>Counterparty Name</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lang w:eastAsia="en-US"/>
              </w:rPr>
            </w:pPr>
            <w:r>
              <w:rPr>
                <w:color w:val="000000"/>
                <w:lang w:eastAsia="en-US"/>
              </w:rPr>
              <w:t>74878</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lang w:eastAsia="en-US"/>
              </w:rPr>
            </w:pPr>
            <w:r>
              <w:rPr>
                <w:color w:val="000000"/>
                <w:lang w:eastAsia="en-US"/>
              </w:rPr>
              <w:t>CESASSETMGMT</w:t>
            </w:r>
          </w:p>
        </w:tc>
        <w:tc>
          <w:tcPr>
            <w:tcW w:w="370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lang w:eastAsia="en-US"/>
              </w:rPr>
            </w:pPr>
            <w:r>
              <w:rPr>
                <w:color w:val="000000"/>
                <w:lang w:eastAsia="en-US"/>
              </w:rPr>
              <w:t>CES Asset Management</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lang w:eastAsia="en-US"/>
              </w:rPr>
            </w:pPr>
            <w:r>
              <w:rPr>
                <w:color w:val="000000"/>
                <w:lang w:eastAsia="en-US"/>
              </w:rPr>
              <w:t>74879</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lang w:eastAsia="en-US"/>
              </w:rPr>
            </w:pPr>
            <w:r>
              <w:rPr>
                <w:color w:val="000000"/>
                <w:lang w:eastAsia="en-US"/>
              </w:rPr>
              <w:t>CESGASSALES</w:t>
            </w:r>
          </w:p>
        </w:tc>
        <w:tc>
          <w:tcPr>
            <w:tcW w:w="370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lang w:eastAsia="en-US"/>
              </w:rPr>
            </w:pPr>
            <w:r>
              <w:rPr>
                <w:color w:val="000000"/>
                <w:lang w:eastAsia="en-US"/>
              </w:rPr>
              <w:t>CES Gas Sales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lang w:eastAsia="en-US"/>
              </w:rPr>
            </w:pPr>
            <w:r>
              <w:rPr>
                <w:color w:val="000000"/>
                <w:lang w:eastAsia="en-US"/>
              </w:rPr>
              <w:t>74880</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lang w:eastAsia="en-US"/>
              </w:rPr>
            </w:pPr>
            <w:r>
              <w:rPr>
                <w:color w:val="000000"/>
                <w:lang w:eastAsia="en-US"/>
              </w:rPr>
              <w:t>CESPREPAIDGAS</w:t>
            </w:r>
          </w:p>
        </w:tc>
        <w:tc>
          <w:tcPr>
            <w:tcW w:w="370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lang w:eastAsia="en-US"/>
              </w:rPr>
            </w:pPr>
            <w:r>
              <w:rPr>
                <w:color w:val="000000"/>
                <w:lang w:eastAsia="en-US"/>
              </w:rPr>
              <w:t>CES Prepaid Gas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lang w:eastAsia="en-US"/>
              </w:rPr>
            </w:pPr>
            <w:r>
              <w:rPr>
                <w:color w:val="000000"/>
                <w:lang w:eastAsia="en-US"/>
              </w:rPr>
              <w:t>74881</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lang w:eastAsia="en-US"/>
              </w:rPr>
            </w:pPr>
            <w:r>
              <w:rPr>
                <w:color w:val="000000"/>
                <w:lang w:eastAsia="en-US"/>
              </w:rPr>
              <w:t>CESCALPEXCH</w:t>
            </w:r>
          </w:p>
        </w:tc>
        <w:tc>
          <w:tcPr>
            <w:tcW w:w="370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lang w:eastAsia="en-US"/>
              </w:rPr>
            </w:pPr>
            <w:r>
              <w:rPr>
                <w:color w:val="000000"/>
                <w:lang w:eastAsia="en-US"/>
              </w:rPr>
              <w:t>CES CALP Exchange</w:t>
            </w:r>
          </w:p>
        </w:tc>
      </w:tr>
    </w:tbl>
    <w:p>
      <w:pPr>
        <w:pStyle w:val="Normal"/>
        <w:spacing w:lineRule="atLeast" w:line="240"/>
        <w:rPr>
          <w:color w:val="000000"/>
          <w:lang w:eastAsia="en-US"/>
        </w:rPr>
      </w:pPr>
      <w:r>
        <w:rPr>
          <w:color w:val="000000"/>
          <w:lang w:eastAsia="en-US"/>
        </w:rPr>
      </w:r>
    </w:p>
    <w:p>
      <w:pPr>
        <w:pStyle w:val="Normal"/>
        <w:numPr>
          <w:ilvl w:val="0"/>
          <w:numId w:val="7"/>
        </w:numPr>
        <w:spacing w:lineRule="atLeast" w:line="240"/>
        <w:jc w:val="both"/>
        <w:rPr>
          <w:color w:val="000000"/>
          <w:lang w:eastAsia="en-US"/>
        </w:rPr>
      </w:pPr>
      <w:r>
        <w:rPr>
          <w:color w:val="000000"/>
          <w:lang w:eastAsia="en-US"/>
        </w:rPr>
        <w:t>Because of Global Counterparty not allowing duplicate Duns numbers this needs to be addressed in Global and Unify for the EDI. Currently all CES Nominations are being done manually so it isn’t presenting a problem.  Mary Gosnell is to follow-up and determine an answer.</w:t>
      </w:r>
    </w:p>
    <w:p>
      <w:pPr>
        <w:pStyle w:val="Normal"/>
        <w:spacing w:lineRule="atLeast" w:line="240"/>
        <w:jc w:val="both"/>
        <w:rPr>
          <w:color w:val="000000"/>
          <w:lang w:eastAsia="en-US"/>
        </w:rPr>
      </w:pPr>
      <w:r>
        <w:rPr>
          <w:color w:val="000000"/>
          <w:lang w:eastAsia="en-US"/>
        </w:rPr>
      </w:r>
    </w:p>
    <w:p>
      <w:pPr>
        <w:pStyle w:val="Normal"/>
        <w:numPr>
          <w:ilvl w:val="0"/>
          <w:numId w:val="2"/>
        </w:numPr>
        <w:spacing w:lineRule="atLeast" w:line="240"/>
        <w:jc w:val="both"/>
        <w:rPr>
          <w:color w:val="000000"/>
          <w:lang w:eastAsia="en-US"/>
        </w:rPr>
      </w:pPr>
      <w:r>
        <w:rPr>
          <w:color w:val="000000"/>
          <w:lang w:eastAsia="en-US"/>
        </w:rPr>
        <w:t>Vincent LaMadrid is to follow-up with the meter numbers not in facilities and forwards the information to Faye Ellis. This mostly involves all the Gatherco, CNR, and TCO meters we do not have in Global Facilities.</w:t>
      </w:r>
    </w:p>
    <w:p>
      <w:pPr>
        <w:pStyle w:val="Normal"/>
        <w:spacing w:lineRule="atLeast" w:line="240"/>
        <w:jc w:val="both"/>
        <w:rPr>
          <w:color w:val="000000"/>
          <w:lang w:eastAsia="en-US"/>
        </w:rPr>
      </w:pPr>
      <w:r>
        <w:rPr>
          <w:color w:val="000000"/>
          <w:lang w:eastAsia="en-US"/>
        </w:rPr>
      </w:r>
    </w:p>
    <w:p>
      <w:pPr>
        <w:pStyle w:val="Normal"/>
        <w:numPr>
          <w:ilvl w:val="0"/>
          <w:numId w:val="6"/>
        </w:numPr>
        <w:spacing w:lineRule="atLeast" w:line="240"/>
        <w:jc w:val="both"/>
        <w:rPr>
          <w:color w:val="000000"/>
          <w:lang w:eastAsia="en-US"/>
        </w:rPr>
      </w:pPr>
      <w:r>
        <w:rPr>
          <w:color w:val="000000"/>
          <w:lang w:eastAsia="en-US"/>
        </w:rPr>
        <w:t>Scott Mills is to update the spreadsheet of all CES deals in the system to include all zeroed out deals, and new deals for the CES counterparties that attached to CES contract numbers.</w:t>
      </w:r>
    </w:p>
    <w:p>
      <w:pPr>
        <w:pStyle w:val="Normal"/>
        <w:spacing w:lineRule="atLeast" w:line="240"/>
        <w:jc w:val="both"/>
        <w:rPr>
          <w:color w:val="000000"/>
          <w:lang w:eastAsia="en-US"/>
        </w:rPr>
      </w:pPr>
      <w:r>
        <w:rPr>
          <w:color w:val="000000"/>
          <w:lang w:eastAsia="en-US"/>
        </w:rPr>
      </w:r>
    </w:p>
    <w:p>
      <w:pPr>
        <w:pStyle w:val="Normal"/>
        <w:numPr>
          <w:ilvl w:val="0"/>
          <w:numId w:val="6"/>
        </w:numPr>
        <w:spacing w:lineRule="atLeast" w:line="240"/>
        <w:jc w:val="both"/>
        <w:rPr>
          <w:color w:val="000000"/>
          <w:lang w:eastAsia="en-US"/>
        </w:rPr>
      </w:pPr>
      <w:r>
        <w:rPr>
          <w:color w:val="000000"/>
          <w:lang w:eastAsia="en-US"/>
        </w:rPr>
        <w:t>Scott’s listing is to be reviewed and verified that all deals are under the correct contract. It was decided in the meeting that Global Contracts would handle this, but this should probably be handled by Deal Validation.</w:t>
      </w:r>
    </w:p>
    <w:p>
      <w:pPr>
        <w:pStyle w:val="Normal"/>
        <w:spacing w:lineRule="atLeast" w:line="240"/>
        <w:jc w:val="both"/>
        <w:rPr>
          <w:color w:val="000000"/>
          <w:lang w:eastAsia="en-US"/>
        </w:rPr>
      </w:pPr>
      <w:r>
        <w:rPr>
          <w:color w:val="000000"/>
          <w:lang w:eastAsia="en-US"/>
        </w:rPr>
      </w:r>
    </w:p>
    <w:p>
      <w:pPr>
        <w:pStyle w:val="Normal"/>
        <w:numPr>
          <w:ilvl w:val="0"/>
          <w:numId w:val="8"/>
        </w:numPr>
        <w:spacing w:lineRule="atLeast" w:line="240"/>
        <w:jc w:val="both"/>
        <w:rPr>
          <w:color w:val="000000"/>
          <w:lang w:eastAsia="en-US"/>
        </w:rPr>
      </w:pPr>
      <w:r>
        <w:rPr>
          <w:color w:val="000000"/>
          <w:lang w:eastAsia="en-US"/>
        </w:rPr>
        <w:t xml:space="preserve">The CALP piece of the business is to be pathed under the Exchange Counterparty CPID 74881. And depending on which part of the transaction is being completed the Exchange contracts listed above are to be used. Vincent LaMadrid is to handle pathing the deals. </w:t>
      </w:r>
    </w:p>
    <w:p>
      <w:pPr>
        <w:pStyle w:val="Normal"/>
        <w:spacing w:lineRule="atLeast" w:line="240"/>
        <w:jc w:val="both"/>
        <w:rPr>
          <w:color w:val="000000"/>
          <w:lang w:eastAsia="en-US"/>
        </w:rPr>
      </w:pPr>
      <w:r>
        <w:rPr>
          <w:color w:val="000000"/>
          <w:lang w:eastAsia="en-US"/>
        </w:rPr>
      </w:r>
    </w:p>
    <w:p>
      <w:pPr>
        <w:pStyle w:val="Normal"/>
        <w:numPr>
          <w:ilvl w:val="0"/>
          <w:numId w:val="9"/>
        </w:numPr>
        <w:spacing w:lineRule="atLeast" w:line="240"/>
        <w:jc w:val="both"/>
        <w:rPr>
          <w:color w:val="000000"/>
          <w:lang w:eastAsia="en-US"/>
        </w:rPr>
      </w:pPr>
      <w:r>
        <w:rPr>
          <w:color w:val="000000"/>
          <w:lang w:eastAsia="en-US"/>
        </w:rPr>
        <w:t>Unify question of Invoicing on behalf of CES as to what bank and payment information is on the invoices to be issued by ENA. This is to be handled by Connie.</w:t>
      </w:r>
    </w:p>
    <w:p>
      <w:pPr>
        <w:pStyle w:val="Normal"/>
        <w:spacing w:lineRule="atLeast" w:line="240"/>
        <w:jc w:val="both"/>
        <w:rPr>
          <w:color w:val="000000"/>
          <w:lang w:eastAsia="en-US"/>
        </w:rPr>
      </w:pPr>
      <w:r>
        <w:rPr>
          <w:color w:val="000000"/>
          <w:lang w:eastAsia="en-US"/>
        </w:rPr>
      </w:r>
    </w:p>
    <w:sectPr>
      <w:headerReference w:type="default" r:id="rId2"/>
      <w:headerReference w:type="first" r:id="rId3"/>
      <w:footerReference w:type="default" r:id="rId4"/>
      <w:footerReference w:type="first" r:id="rId5"/>
      <w:type w:val="nextPage"/>
      <w:pgSz w:w="12240" w:h="15840"/>
      <w:pgMar w:left="1440" w:right="1440" w:gutter="0" w:header="576" w:top="720" w:footer="288" w:bottom="3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fldChar w:fldCharType="begin"/>
    </w:r>
    <w:r>
      <w:rPr/>
      <w:instrText xml:space="preserve"> PAGE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rPr>
        <w:sz w:val="18"/>
      </w:rPr>
    </w:pPr>
    <w:r>
      <w:rPr>
        <w:sz w:val="18"/>
      </w:rPr>
      <w:t>01/15/2000</w:t>
      <w:tab/>
      <w:tab/>
      <w:t>Interoffice Memo</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iMemoStyle" w:val="0"/>
    <w:docVar w:name="Memo Post Wizard Ballo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Interoffice Memo-cls</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2000-01-20T17:45:00Z</dcterms:created>
  <dc:creator>csutton</dc:creator>
  <dc:description/>
  <dc:language>en-CA</dc:language>
  <cp:lastModifiedBy>lbryan</cp:lastModifiedBy>
  <cp:lastPrinted>2000-01-20T13:28:00Z</cp:lastPrinted>
  <dcterms:modified xsi:type="dcterms:W3CDTF">2000-01-20T17:47:00Z</dcterms:modified>
  <cp:revision>5</cp:revision>
  <dc:subject/>
  <dc:title>Interoffice Memo</dc:title>
</cp:coreProperties>
</file>