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PRC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Performance Management Team</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PEP/PRC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Minutes of 10 April 2001 PRC Committee Meeting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following comprises the outcome of the PRC Committee meeting of 10 April:</w:t>
      </w:r>
    </w:p>
    <w:p>
      <w:pPr>
        <w:pStyle w:val="Body"/>
        <w:rPr/>
      </w:pPr>
      <w:r>
        <w:rPr/>
      </w:r>
    </w:p>
    <w:p>
      <w:pPr>
        <w:pStyle w:val="Body"/>
        <w:numPr>
          <w:ilvl w:val="0"/>
          <w:numId w:val="2"/>
        </w:numPr>
        <w:rPr/>
      </w:pPr>
      <w:r>
        <w:rPr>
          <w:b/>
          <w:bCs/>
        </w:rPr>
        <w:t>Reallocation of Peer Groups.</w:t>
      </w:r>
      <w:r>
        <w:rPr/>
        <w:t xml:space="preserve">  After discussion and consideration of the motivation and goals behind the proposal to reduce the number of Peer Groups from four to three, the PRC committee has decided to retain four Peer Groups.  The committee requested that David Oxley and PRC team provide details on the existing job mapping into the four Peer Groups (Commercial, Commercial Support, Technical and Specialized Technical), so that it may review and resolve any issues.  Specific areas for concern were Tax Planning, Structuring, Asset Development and Asset management, and that all functions were accounted for on the spreadsheet handout.  Committee decided not to reconvene on this issue, but to comment via email.</w:t>
      </w:r>
    </w:p>
    <w:p>
      <w:pPr>
        <w:pStyle w:val="Body"/>
        <w:rPr/>
      </w:pPr>
      <w:r>
        <w:rPr/>
      </w:r>
    </w:p>
    <w:p>
      <w:pPr>
        <w:pStyle w:val="Body"/>
        <w:numPr>
          <w:ilvl w:val="0"/>
          <w:numId w:val="2"/>
        </w:numPr>
        <w:rPr/>
      </w:pPr>
      <w:r>
        <w:rPr>
          <w:b/>
          <w:bCs/>
        </w:rPr>
        <w:t xml:space="preserve">Combining Manager and Director Job Groups at the Commercial Level.  </w:t>
      </w:r>
      <w:r>
        <w:rPr/>
        <w:t xml:space="preserve">  PRC Committee reaffirmed its commitment to make this change.   Point was raised that this must be done by the mid-year PRC process, or not at all for this year.  Oxley and Delainey have raised with Steve Kean and Cindy Olson.  Now it needs to be raised with the Policy Committee before it can be considered “approved”; Delainey will follow up on this. </w:t>
      </w:r>
    </w:p>
    <w:p>
      <w:pPr>
        <w:pStyle w:val="Body"/>
        <w:ind w:start="0" w:end="0"/>
        <w:rPr/>
      </w:pPr>
      <w:r>
        <w:rPr/>
      </w:r>
    </w:p>
    <w:p>
      <w:pPr>
        <w:pStyle w:val="Body"/>
        <w:rPr>
          <w:rFonts w:eastAsia="Arial"/>
        </w:rPr>
      </w:pPr>
      <w:r>
        <w:rPr>
          <w:rFonts w:eastAsia="Arial"/>
        </w:rPr>
        <w:t xml:space="preserve"> </w:t>
      </w:r>
    </w:p>
    <w:p>
      <w:pPr>
        <w:pStyle w:val="Body"/>
        <w:numPr>
          <w:ilvl w:val="0"/>
          <w:numId w:val="2"/>
        </w:numPr>
        <w:rPr/>
      </w:pPr>
      <w:r>
        <w:rPr>
          <w:b/>
          <w:bCs/>
        </w:rPr>
        <w:t>Stauts Update on PRC Committee Decisions for 2001 Mid-year</w:t>
      </w:r>
      <w:r>
        <w:rPr/>
        <w:t>:  To be provided separately.</w:t>
      </w:r>
    </w:p>
    <w:p>
      <w:pPr>
        <w:pStyle w:val="Body"/>
        <w:rPr/>
      </w:pPr>
      <w:r>
        <w:rPr/>
      </w:r>
    </w:p>
    <w:p>
      <w:pPr>
        <w:pStyle w:val="Body"/>
        <w:numPr>
          <w:ilvl w:val="0"/>
          <w:numId w:val="2"/>
        </w:numPr>
        <w:rPr/>
      </w:pPr>
      <w:r>
        <w:rPr>
          <w:b/>
          <w:bCs/>
        </w:rPr>
        <w:t xml:space="preserve">Next PRC Committee Meeting:  </w:t>
      </w:r>
      <w:r>
        <w:rPr/>
        <w:t>Committee will reconvene prior to the start of the mid-year PRC meeting period (June 2001) to review roles and responsibilities specific to the VP PRC.   Additional information on this meeting will be provided separately.</w:t>
      </w:r>
    </w:p>
    <w:p>
      <w:pPr>
        <w:pStyle w:val="Body"/>
        <w:ind w:start="0" w:end="0"/>
        <w:rPr/>
      </w:pPr>
      <w:r>
        <w:rPr/>
      </w:r>
    </w:p>
    <w:p>
      <w:pPr>
        <w:pStyle w:val="Body"/>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92"/>
        </w:tabs>
        <w:ind w:start="792"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2001-04-10T18:02:00Z</dcterms:created>
  <dc:creator>gcortese</dc:creator>
  <dc:description/>
  <dc:language>en-CA</dc:language>
  <cp:lastModifiedBy>gcortese</cp:lastModifiedBy>
  <dcterms:modified xsi:type="dcterms:W3CDTF">2001-04-16T16:47:00Z</dcterms:modified>
  <cp:revision>8</cp:revision>
  <dc:subject/>
  <dc:title>Better, Faster, Simpler Memo </dc:title>
</cp:coreProperties>
</file>