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r>
    </w:p>
    <w:p>
      <w:pPr>
        <w:pStyle w:val="Heading1"/>
        <w:ind w:hanging="0" w:start="0"/>
        <w:jc w:val="both"/>
        <w:rPr/>
      </w:pPr>
      <w:r>
        <w:rPr/>
        <w:t>Latin American Committee Meeting Minutes</w:t>
      </w:r>
    </w:p>
    <w:p>
      <w:pPr>
        <w:pStyle w:val="Normal"/>
        <w:jc w:val="both"/>
        <w:rPr/>
      </w:pPr>
      <w:r>
        <w:rPr/>
      </w:r>
    </w:p>
    <w:p>
      <w:pPr>
        <w:pStyle w:val="Normal"/>
        <w:jc w:val="both"/>
        <w:rPr/>
      </w:pPr>
      <w:r>
        <w:rPr/>
        <w:t>Monday, September 17, 2001</w:t>
      </w:r>
    </w:p>
    <w:p>
      <w:pPr>
        <w:pStyle w:val="Normal"/>
        <w:jc w:val="both"/>
        <w:rPr/>
      </w:pPr>
      <w:r>
        <w:rPr/>
        <w:t>ISDA, 600 Fifth Ave. New York, NY 10020</w:t>
      </w:r>
    </w:p>
    <w:p>
      <w:pPr>
        <w:pStyle w:val="Normal"/>
        <w:ind w:start="720" w:end="0"/>
        <w:jc w:val="both"/>
        <w:rPr/>
      </w:pPr>
      <w:r>
        <w:rPr/>
      </w:r>
    </w:p>
    <w:p>
      <w:pPr>
        <w:pStyle w:val="Normal"/>
        <w:ind w:start="720" w:end="0"/>
        <w:jc w:val="both"/>
        <w:rPr>
          <w:b/>
          <w:bCs/>
        </w:rPr>
      </w:pPr>
      <w:r>
        <w:rPr>
          <w:b/>
          <w:bCs/>
        </w:rPr>
      </w:r>
    </w:p>
    <w:p>
      <w:pPr>
        <w:pStyle w:val="Normal"/>
        <w:ind w:start="720" w:end="0"/>
        <w:jc w:val="both"/>
        <w:rPr>
          <w:b/>
          <w:bCs/>
        </w:rPr>
      </w:pPr>
      <w:r>
        <w:rPr>
          <w:b/>
          <w:bCs/>
        </w:rPr>
        <w:t>Latin America:</w:t>
      </w:r>
    </w:p>
    <w:p>
      <w:pPr>
        <w:pStyle w:val="Normal"/>
        <w:ind w:start="720" w:end="0"/>
        <w:jc w:val="both"/>
        <w:rPr>
          <w:b/>
          <w:bCs/>
        </w:rPr>
      </w:pPr>
      <w:r>
        <w:rPr>
          <w:b/>
          <w:bCs/>
        </w:rPr>
      </w:r>
    </w:p>
    <w:p>
      <w:pPr>
        <w:pStyle w:val="Normal"/>
        <w:numPr>
          <w:ilvl w:val="0"/>
          <w:numId w:val="2"/>
        </w:numPr>
        <w:jc w:val="both"/>
        <w:rPr/>
      </w:pPr>
      <w:r>
        <w:rPr/>
        <w:t>In light of Tuesday's tragedies ISDA held meetings in New York and in London to identify and work through derivatives industry issues that may have arisen in the aftermath of the terrorist attacks in the United States. ISDA is facilitating these discussions, which have focused on the impact of the closure of the US equity markets, settlement and valuation, and documentation and legal issues. Our website provides further information, which is frequently being updated, and useful links related to the events of the past week.</w:t>
      </w:r>
    </w:p>
    <w:p>
      <w:pPr>
        <w:pStyle w:val="Normal"/>
        <w:ind w:start="360" w:end="0"/>
        <w:jc w:val="both"/>
        <w:rPr/>
      </w:pPr>
      <w:r>
        <w:rPr/>
      </w:r>
    </w:p>
    <w:p>
      <w:pPr>
        <w:pStyle w:val="Normal"/>
        <w:numPr>
          <w:ilvl w:val="0"/>
          <w:numId w:val="2"/>
        </w:numPr>
        <w:jc w:val="both"/>
        <w:rPr/>
      </w:pPr>
      <w:r>
        <w:rPr/>
        <w:t>The terrorist attack had produced significant consequences to the local debt and equities markets. Spreads of sovereigns debt had widened and country risk has increase substantially particularly in Argentina. In the aftermath of the terrorist attacks, major indices of local stock exchanges have been in a downward trend.</w:t>
      </w:r>
    </w:p>
    <w:p>
      <w:pPr>
        <w:pStyle w:val="Normal"/>
        <w:ind w:start="720" w:end="0"/>
        <w:jc w:val="both"/>
        <w:rPr>
          <w:b/>
          <w:bCs/>
        </w:rPr>
      </w:pPr>
      <w:r>
        <w:rPr>
          <w:b/>
          <w:bCs/>
        </w:rPr>
      </w:r>
    </w:p>
    <w:p>
      <w:pPr>
        <w:pStyle w:val="Normal"/>
        <w:ind w:start="720" w:end="0"/>
        <w:jc w:val="both"/>
        <w:rPr>
          <w:b/>
          <w:bCs/>
        </w:rPr>
      </w:pPr>
      <w:r>
        <w:rPr>
          <w:b/>
          <w:bCs/>
        </w:rPr>
        <w:t>Brazil:</w:t>
      </w:r>
    </w:p>
    <w:p>
      <w:pPr>
        <w:pStyle w:val="Normal"/>
        <w:ind w:start="720" w:end="0"/>
        <w:jc w:val="both"/>
        <w:rPr>
          <w:b/>
          <w:bCs/>
        </w:rPr>
      </w:pPr>
      <w:r>
        <w:rPr>
          <w:b/>
          <w:bCs/>
        </w:rPr>
      </w:r>
    </w:p>
    <w:p>
      <w:pPr>
        <w:pStyle w:val="Normal"/>
        <w:ind w:start="720" w:end="0"/>
        <w:jc w:val="both"/>
        <w:rPr>
          <w:b/>
          <w:bCs/>
        </w:rPr>
      </w:pPr>
      <w:r>
        <w:rPr>
          <w:b/>
          <w:bCs/>
        </w:rPr>
        <w:t>Documentation:</w:t>
      </w:r>
    </w:p>
    <w:p>
      <w:pPr>
        <w:pStyle w:val="Normal"/>
        <w:ind w:start="720" w:end="0"/>
        <w:jc w:val="both"/>
        <w:rPr>
          <w:b/>
          <w:bCs/>
        </w:rPr>
      </w:pPr>
      <w:r>
        <w:rPr>
          <w:b/>
          <w:bCs/>
        </w:rPr>
      </w:r>
    </w:p>
    <w:p>
      <w:pPr>
        <w:pStyle w:val="Normal"/>
        <w:numPr>
          <w:ilvl w:val="0"/>
          <w:numId w:val="2"/>
        </w:numPr>
        <w:jc w:val="both"/>
        <w:rPr/>
      </w:pPr>
      <w:r>
        <w:rPr/>
        <w:t>ISDA has been informed by our Brazilian members that the Câmara de Adminstração de Assuntos de Riscos (CAAR) has appointed ISDA member Pinheiro Neto Advogados to develop a local market master agreement.  ISDA members with offices in Brazil have requested active guidance from ISDA’s Latin American Committee and acknowledge that the experiences of ISDA in similar situations can contribute significantly to the preparation of a Brazilian master agreement governing local market over-the-counter derivatives transactions.</w:t>
      </w:r>
    </w:p>
    <w:p>
      <w:pPr>
        <w:pStyle w:val="Normal"/>
        <w:ind w:start="360" w:end="0"/>
        <w:jc w:val="both"/>
        <w:rPr/>
      </w:pPr>
      <w:r>
        <w:rPr/>
      </w:r>
    </w:p>
    <w:p>
      <w:pPr>
        <w:pStyle w:val="Normal"/>
        <w:ind w:start="720" w:end="0"/>
        <w:jc w:val="both"/>
        <w:rPr>
          <w:b/>
          <w:bCs/>
        </w:rPr>
      </w:pPr>
      <w:r>
        <w:rPr>
          <w:b/>
          <w:bCs/>
        </w:rPr>
        <w:t>Netting:</w:t>
      </w:r>
    </w:p>
    <w:p>
      <w:pPr>
        <w:pStyle w:val="Normal"/>
        <w:ind w:start="720" w:end="0"/>
        <w:jc w:val="both"/>
        <w:rPr>
          <w:b/>
          <w:bCs/>
        </w:rPr>
      </w:pPr>
      <w:r>
        <w:rPr>
          <w:b/>
          <w:bCs/>
        </w:rPr>
      </w:r>
    </w:p>
    <w:p>
      <w:pPr>
        <w:pStyle w:val="Normal"/>
        <w:numPr>
          <w:ilvl w:val="0"/>
          <w:numId w:val="2"/>
        </w:numPr>
        <w:jc w:val="both"/>
        <w:rPr/>
      </w:pPr>
      <w:r>
        <w:rPr/>
        <w:t>The committee discussed the implications of the recent Constitutional amendment approved by the Brazilian Congress, to the outstanding Medidas Provisorias and in particular to MP 2,192-70 and Article 30. Further clarification on this issue will be available in a memo to be distributed shortly.</w:t>
      </w:r>
    </w:p>
    <w:p>
      <w:pPr>
        <w:pStyle w:val="Normal"/>
        <w:ind w:start="360" w:end="0"/>
        <w:jc w:val="both"/>
        <w:rPr/>
      </w:pPr>
      <w:r>
        <w:rPr/>
      </w:r>
    </w:p>
    <w:p>
      <w:pPr>
        <w:pStyle w:val="Normal"/>
        <w:ind w:start="720" w:end="0"/>
        <w:jc w:val="both"/>
        <w:rPr>
          <w:b/>
          <w:bCs/>
        </w:rPr>
      </w:pPr>
      <w:r>
        <w:rPr>
          <w:b/>
          <w:bCs/>
        </w:rPr>
        <w:t>Credit Derivatives:</w:t>
      </w:r>
    </w:p>
    <w:p>
      <w:pPr>
        <w:pStyle w:val="Normal"/>
        <w:ind w:start="720" w:end="0"/>
        <w:jc w:val="both"/>
        <w:rPr>
          <w:b/>
          <w:bCs/>
        </w:rPr>
      </w:pPr>
      <w:r>
        <w:rPr>
          <w:b/>
          <w:bCs/>
        </w:rPr>
      </w:r>
    </w:p>
    <w:p>
      <w:pPr>
        <w:pStyle w:val="Normal"/>
        <w:numPr>
          <w:ilvl w:val="0"/>
          <w:numId w:val="2"/>
        </w:numPr>
        <w:jc w:val="both"/>
        <w:rPr/>
      </w:pPr>
      <w:r>
        <w:rPr/>
        <w:t>ISDA and its members are still waiting for a response from the Brazilian Central Bank with respect to the proposal submitted in May 2001 on credit derivatives.</w:t>
      </w:r>
    </w:p>
    <w:p>
      <w:pPr>
        <w:pStyle w:val="Normal"/>
        <w:ind w:start="720" w:end="0"/>
        <w:jc w:val="both"/>
        <w:rPr>
          <w:b/>
          <w:bCs/>
        </w:rPr>
      </w:pPr>
      <w:r>
        <w:rPr>
          <w:b/>
          <w:bCs/>
        </w:rPr>
      </w:r>
    </w:p>
    <w:p>
      <w:pPr>
        <w:pStyle w:val="Normal"/>
        <w:ind w:start="720" w:end="0"/>
        <w:jc w:val="both"/>
        <w:rPr>
          <w:b/>
          <w:bCs/>
        </w:rPr>
      </w:pPr>
      <w:r>
        <w:rPr>
          <w:b/>
          <w:bCs/>
        </w:rPr>
        <w:t>Conference:</w:t>
      </w:r>
    </w:p>
    <w:p>
      <w:pPr>
        <w:pStyle w:val="Normal"/>
        <w:ind w:start="360" w:end="0"/>
        <w:jc w:val="both"/>
        <w:rPr>
          <w:b/>
          <w:bCs/>
        </w:rPr>
      </w:pPr>
      <w:r>
        <w:rPr>
          <w:b/>
          <w:bCs/>
        </w:rPr>
      </w:r>
    </w:p>
    <w:p>
      <w:pPr>
        <w:pStyle w:val="Normal"/>
        <w:numPr>
          <w:ilvl w:val="0"/>
          <w:numId w:val="2"/>
        </w:numPr>
        <w:jc w:val="both"/>
        <w:rPr/>
      </w:pPr>
      <w:r>
        <w:rPr/>
        <w:t>ISDA is planning to organize a conference in Brazil in 2002. A trip to Brazil is scheduled, probably before year-end to begin the preparation of the conference as well as to cover other business issues as outlined in the action plan.</w:t>
      </w:r>
    </w:p>
    <w:p>
      <w:pPr>
        <w:pStyle w:val="Normal"/>
        <w:ind w:start="720" w:end="0"/>
        <w:jc w:val="both"/>
        <w:rPr/>
      </w:pPr>
      <w:r>
        <w:rPr/>
      </w:r>
    </w:p>
    <w:p>
      <w:pPr>
        <w:pStyle w:val="Normal"/>
        <w:ind w:start="720" w:end="0"/>
        <w:jc w:val="both"/>
        <w:rPr>
          <w:b/>
          <w:bCs/>
        </w:rPr>
      </w:pPr>
      <w:r>
        <w:rPr>
          <w:b/>
          <w:bCs/>
        </w:rPr>
        <w:t>Mexico:</w:t>
      </w:r>
    </w:p>
    <w:p>
      <w:pPr>
        <w:pStyle w:val="Normal"/>
        <w:ind w:start="720" w:end="0"/>
        <w:jc w:val="both"/>
        <w:rPr>
          <w:b/>
          <w:bCs/>
        </w:rPr>
      </w:pPr>
      <w:r>
        <w:rPr>
          <w:b/>
          <w:bCs/>
        </w:rPr>
      </w:r>
    </w:p>
    <w:p>
      <w:pPr>
        <w:pStyle w:val="Normal"/>
        <w:ind w:start="720" w:end="0"/>
        <w:jc w:val="both"/>
        <w:rPr>
          <w:b/>
          <w:bCs/>
        </w:rPr>
      </w:pPr>
      <w:r>
        <w:rPr>
          <w:b/>
          <w:bCs/>
        </w:rPr>
        <w:t>Conference:</w:t>
      </w:r>
    </w:p>
    <w:p>
      <w:pPr>
        <w:pStyle w:val="Normal"/>
        <w:ind w:start="720" w:end="0"/>
        <w:jc w:val="both"/>
        <w:rPr>
          <w:b/>
          <w:bCs/>
        </w:rPr>
      </w:pPr>
      <w:r>
        <w:rPr>
          <w:b/>
          <w:bCs/>
        </w:rPr>
      </w:r>
    </w:p>
    <w:p>
      <w:pPr>
        <w:pStyle w:val="Normal"/>
        <w:numPr>
          <w:ilvl w:val="0"/>
          <w:numId w:val="2"/>
        </w:numPr>
        <w:jc w:val="both"/>
        <w:rPr/>
      </w:pPr>
      <w:r>
        <w:rPr/>
        <w:t>ISDA is planning to organize a one-day documentation conference on November 29, 2001.</w:t>
      </w:r>
    </w:p>
    <w:p>
      <w:pPr>
        <w:pStyle w:val="Normal"/>
        <w:jc w:val="both"/>
        <w:rPr/>
      </w:pPr>
      <w:r>
        <w:rPr/>
      </w:r>
    </w:p>
    <w:p>
      <w:pPr>
        <w:pStyle w:val="Normal"/>
        <w:ind w:start="720" w:end="0"/>
        <w:jc w:val="both"/>
        <w:rPr>
          <w:b/>
          <w:bCs/>
        </w:rPr>
      </w:pPr>
      <w:r>
        <w:rPr>
          <w:b/>
          <w:bCs/>
        </w:rPr>
        <w:t>Documentation:</w:t>
      </w:r>
    </w:p>
    <w:p>
      <w:pPr>
        <w:pStyle w:val="Normal"/>
        <w:ind w:start="720" w:end="0"/>
        <w:jc w:val="both"/>
        <w:rPr>
          <w:b/>
          <w:bCs/>
        </w:rPr>
      </w:pPr>
      <w:r>
        <w:rPr>
          <w:b/>
          <w:bCs/>
        </w:rPr>
      </w:r>
    </w:p>
    <w:p>
      <w:pPr>
        <w:pStyle w:val="Normal"/>
        <w:numPr>
          <w:ilvl w:val="0"/>
          <w:numId w:val="2"/>
        </w:numPr>
        <w:jc w:val="both"/>
        <w:rPr/>
      </w:pPr>
      <w:r>
        <w:rPr/>
        <w:t>The Mexican Bankers Association has appointed Ritch Heather y Muller to develop a local master agreement. ISDA members with offices in Mexico have requested active guidance from ISDA’s Latin American Committee. ISDA is currently participating in the development of such a local market master agreement.</w:t>
      </w:r>
    </w:p>
    <w:p>
      <w:pPr>
        <w:pStyle w:val="Normal"/>
        <w:jc w:val="both"/>
        <w:rPr/>
      </w:pPr>
      <w:r>
        <w:rPr/>
      </w:r>
    </w:p>
    <w:p>
      <w:pPr>
        <w:pStyle w:val="Normal"/>
        <w:ind w:start="720" w:end="0"/>
        <w:jc w:val="both"/>
        <w:rPr>
          <w:b/>
          <w:bCs/>
        </w:rPr>
      </w:pPr>
      <w:r>
        <w:rPr>
          <w:b/>
          <w:bCs/>
        </w:rPr>
        <w:t>Argentina:</w:t>
      </w:r>
    </w:p>
    <w:p>
      <w:pPr>
        <w:pStyle w:val="Normal"/>
        <w:ind w:start="720" w:end="0"/>
        <w:jc w:val="both"/>
        <w:rPr>
          <w:b/>
          <w:bCs/>
        </w:rPr>
      </w:pPr>
      <w:r>
        <w:rPr>
          <w:b/>
          <w:bCs/>
        </w:rPr>
      </w:r>
    </w:p>
    <w:p>
      <w:pPr>
        <w:pStyle w:val="Normal"/>
        <w:ind w:start="720" w:end="0"/>
        <w:jc w:val="both"/>
        <w:rPr>
          <w:b/>
          <w:bCs/>
        </w:rPr>
      </w:pPr>
      <w:r>
        <w:rPr>
          <w:b/>
          <w:bCs/>
        </w:rPr>
        <w:t>Netting:</w:t>
      </w:r>
    </w:p>
    <w:p>
      <w:pPr>
        <w:pStyle w:val="Normal"/>
        <w:ind w:start="720" w:end="0"/>
        <w:jc w:val="both"/>
        <w:rPr>
          <w:b/>
          <w:bCs/>
        </w:rPr>
      </w:pPr>
      <w:r>
        <w:rPr>
          <w:b/>
          <w:bCs/>
        </w:rPr>
      </w:r>
    </w:p>
    <w:p>
      <w:pPr>
        <w:pStyle w:val="Normal"/>
        <w:numPr>
          <w:ilvl w:val="0"/>
          <w:numId w:val="2"/>
        </w:numPr>
        <w:jc w:val="both"/>
        <w:rPr/>
      </w:pPr>
      <w:r>
        <w:rPr/>
        <w:t>ISDA has submitted a letter on August 10, 2001 to key Argentine governmental authorities and policy makers expressing support for approval of the Bill by the Argentine Chamber of Deputies.</w:t>
      </w:r>
    </w:p>
    <w:p>
      <w:pPr>
        <w:pStyle w:val="Normal"/>
        <w:ind w:start="720" w:end="0"/>
        <w:jc w:val="both"/>
        <w:rPr/>
      </w:pPr>
      <w:r>
        <w:rPr/>
      </w:r>
    </w:p>
    <w:p>
      <w:pPr>
        <w:pStyle w:val="Normal"/>
        <w:ind w:start="720" w:end="0"/>
        <w:jc w:val="both"/>
        <w:rPr>
          <w:b/>
          <w:bCs/>
        </w:rPr>
      </w:pPr>
      <w:r>
        <w:rPr>
          <w:b/>
          <w:bCs/>
        </w:rPr>
        <w:t>Administrative:</w:t>
      </w:r>
    </w:p>
    <w:p>
      <w:pPr>
        <w:pStyle w:val="Normal"/>
        <w:ind w:start="720" w:end="0"/>
        <w:jc w:val="both"/>
        <w:rPr>
          <w:b/>
          <w:bCs/>
        </w:rPr>
      </w:pPr>
      <w:r>
        <w:rPr>
          <w:b/>
          <w:bCs/>
        </w:rPr>
      </w:r>
    </w:p>
    <w:p>
      <w:pPr>
        <w:pStyle w:val="Normal"/>
        <w:numPr>
          <w:ilvl w:val="0"/>
          <w:numId w:val="2"/>
        </w:numPr>
        <w:jc w:val="both"/>
        <w:rPr/>
      </w:pPr>
      <w:r>
        <w:rPr/>
        <w:t>The next Latin American Committee meeting will be held on Monday, October 15, 2001.</w:t>
      </w:r>
    </w:p>
    <w:p>
      <w:pPr>
        <w:pStyle w:val="Normal"/>
        <w:jc w:val="both"/>
        <w:rPr>
          <w:b/>
          <w:bCs/>
        </w:rPr>
      </w:pPr>
      <w:r>
        <w:rPr>
          <w:b/>
          <w:bCs/>
        </w:rPr>
      </w:r>
    </w:p>
    <w:p>
      <w:pPr>
        <w:pStyle w:val="Normal"/>
        <w:jc w:val="both"/>
        <w:rPr>
          <w:b/>
          <w:bCs/>
        </w:rPr>
      </w:pPr>
      <w:r>
        <w:rPr>
          <w:b/>
          <w:bCs/>
        </w:rPr>
        <w:t>Attendees:</w:t>
      </w:r>
    </w:p>
    <w:p>
      <w:pPr>
        <w:pStyle w:val="Normal"/>
        <w:jc w:val="both"/>
        <w:rPr>
          <w:b/>
          <w:bCs/>
        </w:rPr>
      </w:pPr>
      <w:r>
        <w:rPr>
          <w:b/>
          <w:bCs/>
        </w:rPr>
      </w:r>
    </w:p>
    <w:tbl>
      <w:tblPr>
        <w:tblW w:w="5920" w:type="dxa"/>
        <w:jc w:val="start"/>
        <w:tblInd w:w="0" w:type="dxa"/>
        <w:tblLayout w:type="fixed"/>
        <w:tblCellMar>
          <w:top w:w="15" w:type="dxa"/>
          <w:start w:w="15" w:type="dxa"/>
          <w:bottom w:w="0" w:type="dxa"/>
          <w:end w:w="15" w:type="dxa"/>
        </w:tblCellMar>
      </w:tblPr>
      <w:tblGrid>
        <w:gridCol w:w="3448"/>
        <w:gridCol w:w="2472"/>
      </w:tblGrid>
      <w:tr>
        <w:trPr>
          <w:trHeight w:val="255" w:hRule="atLeast"/>
        </w:trPr>
        <w:tc>
          <w:tcPr>
            <w:tcW w:w="3448" w:type="dxa"/>
            <w:tcBorders/>
            <w:vAlign w:val="bottom"/>
          </w:tcPr>
          <w:p>
            <w:pPr>
              <w:pStyle w:val="Normal"/>
              <w:rPr>
                <w:rFonts w:ascii="Arial" w:hAnsi="Arial" w:cs="Arial"/>
                <w:sz w:val="20"/>
                <w:szCs w:val="20"/>
              </w:rPr>
            </w:pPr>
            <w:r>
              <w:rPr>
                <w:rFonts w:cs="Arial" w:ascii="Arial" w:hAnsi="Arial"/>
                <w:sz w:val="20"/>
                <w:szCs w:val="20"/>
              </w:rPr>
              <w:t>AIGI</w:t>
            </w:r>
          </w:p>
        </w:tc>
        <w:tc>
          <w:tcPr>
            <w:tcW w:w="2472" w:type="dxa"/>
            <w:tcBorders/>
            <w:vAlign w:val="bottom"/>
          </w:tcPr>
          <w:p>
            <w:pPr>
              <w:pStyle w:val="Normal"/>
              <w:rPr>
                <w:rFonts w:ascii="Arial" w:hAnsi="Arial" w:cs="Arial"/>
                <w:sz w:val="20"/>
                <w:szCs w:val="20"/>
              </w:rPr>
            </w:pPr>
            <w:r>
              <w:rPr>
                <w:rFonts w:cs="Arial" w:ascii="Arial" w:hAnsi="Arial"/>
                <w:sz w:val="20"/>
                <w:szCs w:val="20"/>
              </w:rPr>
              <w:t>Larry Abrahams</w:t>
            </w:r>
          </w:p>
        </w:tc>
      </w:tr>
      <w:tr>
        <w:trPr>
          <w:trHeight w:val="255" w:hRule="atLeast"/>
        </w:trPr>
        <w:tc>
          <w:tcPr>
            <w:tcW w:w="3448" w:type="dxa"/>
            <w:tcBorders/>
            <w:vAlign w:val="bottom"/>
          </w:tcPr>
          <w:p>
            <w:pPr>
              <w:pStyle w:val="Normal"/>
              <w:rPr>
                <w:rFonts w:ascii="Arial" w:hAnsi="Arial" w:cs="Arial"/>
                <w:sz w:val="20"/>
                <w:szCs w:val="20"/>
              </w:rPr>
            </w:pPr>
            <w:r>
              <w:rPr>
                <w:rFonts w:cs="Arial" w:ascii="Arial" w:hAnsi="Arial"/>
                <w:sz w:val="20"/>
                <w:szCs w:val="20"/>
              </w:rPr>
              <w:t>Banamex</w:t>
            </w:r>
          </w:p>
        </w:tc>
        <w:tc>
          <w:tcPr>
            <w:tcW w:w="2472" w:type="dxa"/>
            <w:tcBorders/>
            <w:vAlign w:val="bottom"/>
          </w:tcPr>
          <w:p>
            <w:pPr>
              <w:pStyle w:val="Normal"/>
              <w:rPr>
                <w:rFonts w:ascii="Arial" w:hAnsi="Arial" w:cs="Arial"/>
                <w:sz w:val="20"/>
                <w:szCs w:val="20"/>
              </w:rPr>
            </w:pPr>
            <w:r>
              <w:rPr>
                <w:rFonts w:cs="Arial" w:ascii="Arial" w:hAnsi="Arial"/>
                <w:sz w:val="20"/>
                <w:szCs w:val="20"/>
              </w:rPr>
              <w:t>Carlos Woodworth</w:t>
            </w:r>
          </w:p>
        </w:tc>
      </w:tr>
      <w:tr>
        <w:trPr>
          <w:trHeight w:val="255" w:hRule="atLeast"/>
        </w:trPr>
        <w:tc>
          <w:tcPr>
            <w:tcW w:w="3448" w:type="dxa"/>
            <w:tcBorders/>
            <w:vAlign w:val="bottom"/>
          </w:tcPr>
          <w:p>
            <w:pPr>
              <w:pStyle w:val="Normal"/>
              <w:rPr>
                <w:rFonts w:ascii="Arial" w:hAnsi="Arial" w:cs="Arial"/>
                <w:sz w:val="20"/>
                <w:szCs w:val="20"/>
              </w:rPr>
            </w:pPr>
            <w:r>
              <w:rPr>
                <w:rFonts w:cs="Arial" w:ascii="Arial" w:hAnsi="Arial"/>
                <w:sz w:val="20"/>
                <w:szCs w:val="20"/>
              </w:rPr>
              <w:t>Banamex</w:t>
            </w:r>
          </w:p>
        </w:tc>
        <w:tc>
          <w:tcPr>
            <w:tcW w:w="2472" w:type="dxa"/>
            <w:tcBorders/>
            <w:vAlign w:val="bottom"/>
          </w:tcPr>
          <w:p>
            <w:pPr>
              <w:pStyle w:val="Normal"/>
              <w:rPr>
                <w:rFonts w:ascii="Arial" w:hAnsi="Arial" w:cs="Arial"/>
                <w:sz w:val="20"/>
                <w:szCs w:val="20"/>
              </w:rPr>
            </w:pPr>
            <w:r>
              <w:rPr>
                <w:rFonts w:cs="Arial" w:ascii="Arial" w:hAnsi="Arial"/>
                <w:sz w:val="20"/>
                <w:szCs w:val="20"/>
              </w:rPr>
              <w:t>Esther Aburto</w:t>
            </w:r>
          </w:p>
        </w:tc>
      </w:tr>
      <w:tr>
        <w:trPr>
          <w:trHeight w:val="255" w:hRule="atLeast"/>
        </w:trPr>
        <w:tc>
          <w:tcPr>
            <w:tcW w:w="3448" w:type="dxa"/>
            <w:tcBorders/>
            <w:vAlign w:val="bottom"/>
          </w:tcPr>
          <w:p>
            <w:pPr>
              <w:pStyle w:val="Normal"/>
              <w:rPr>
                <w:rFonts w:ascii="Arial" w:hAnsi="Arial" w:cs="Arial"/>
                <w:sz w:val="20"/>
                <w:szCs w:val="20"/>
              </w:rPr>
            </w:pPr>
            <w:r>
              <w:rPr>
                <w:rFonts w:cs="Arial" w:ascii="Arial" w:hAnsi="Arial"/>
                <w:sz w:val="20"/>
                <w:szCs w:val="20"/>
              </w:rPr>
              <w:t>Bank of America</w:t>
            </w:r>
          </w:p>
        </w:tc>
        <w:tc>
          <w:tcPr>
            <w:tcW w:w="2472" w:type="dxa"/>
            <w:tcBorders/>
            <w:vAlign w:val="bottom"/>
          </w:tcPr>
          <w:p>
            <w:pPr>
              <w:pStyle w:val="Normal"/>
              <w:rPr>
                <w:rFonts w:ascii="Arial" w:hAnsi="Arial" w:cs="Arial"/>
                <w:sz w:val="20"/>
                <w:szCs w:val="20"/>
              </w:rPr>
            </w:pPr>
            <w:r>
              <w:rPr>
                <w:rFonts w:cs="Arial" w:ascii="Arial" w:hAnsi="Arial"/>
                <w:sz w:val="20"/>
                <w:szCs w:val="20"/>
              </w:rPr>
              <w:t>Marcio Bofiglioli</w:t>
            </w:r>
          </w:p>
        </w:tc>
      </w:tr>
      <w:tr>
        <w:trPr>
          <w:trHeight w:val="255" w:hRule="atLeast"/>
        </w:trPr>
        <w:tc>
          <w:tcPr>
            <w:tcW w:w="3448" w:type="dxa"/>
            <w:tcBorders/>
            <w:vAlign w:val="bottom"/>
          </w:tcPr>
          <w:p>
            <w:pPr>
              <w:pStyle w:val="Normal"/>
              <w:rPr>
                <w:rFonts w:ascii="Arial" w:hAnsi="Arial" w:cs="Arial"/>
                <w:sz w:val="20"/>
                <w:szCs w:val="20"/>
              </w:rPr>
            </w:pPr>
            <w:r>
              <w:rPr>
                <w:rFonts w:cs="Arial" w:ascii="Arial" w:hAnsi="Arial"/>
                <w:sz w:val="20"/>
                <w:szCs w:val="20"/>
              </w:rPr>
              <w:t>Bank of America</w:t>
            </w:r>
          </w:p>
        </w:tc>
        <w:tc>
          <w:tcPr>
            <w:tcW w:w="2472" w:type="dxa"/>
            <w:tcBorders/>
            <w:vAlign w:val="bottom"/>
          </w:tcPr>
          <w:p>
            <w:pPr>
              <w:pStyle w:val="Normal"/>
              <w:rPr>
                <w:rFonts w:ascii="Arial" w:hAnsi="Arial" w:cs="Arial"/>
                <w:sz w:val="20"/>
                <w:szCs w:val="20"/>
              </w:rPr>
            </w:pPr>
            <w:r>
              <w:rPr>
                <w:rFonts w:cs="Arial" w:ascii="Arial" w:hAnsi="Arial"/>
                <w:sz w:val="20"/>
                <w:szCs w:val="20"/>
              </w:rPr>
              <w:t>John Emert</w:t>
            </w:r>
          </w:p>
        </w:tc>
      </w:tr>
      <w:tr>
        <w:trPr>
          <w:trHeight w:val="255" w:hRule="atLeast"/>
        </w:trPr>
        <w:tc>
          <w:tcPr>
            <w:tcW w:w="3448" w:type="dxa"/>
            <w:tcBorders/>
            <w:vAlign w:val="bottom"/>
          </w:tcPr>
          <w:p>
            <w:pPr>
              <w:pStyle w:val="Normal"/>
              <w:rPr>
                <w:rFonts w:ascii="Arial" w:hAnsi="Arial" w:cs="Arial"/>
                <w:sz w:val="20"/>
                <w:szCs w:val="20"/>
              </w:rPr>
            </w:pPr>
            <w:r>
              <w:rPr>
                <w:rFonts w:cs="Arial" w:ascii="Arial" w:hAnsi="Arial"/>
                <w:sz w:val="20"/>
                <w:szCs w:val="20"/>
              </w:rPr>
              <w:t>Bank of America</w:t>
            </w:r>
          </w:p>
        </w:tc>
        <w:tc>
          <w:tcPr>
            <w:tcW w:w="2472" w:type="dxa"/>
            <w:tcBorders/>
            <w:vAlign w:val="bottom"/>
          </w:tcPr>
          <w:p>
            <w:pPr>
              <w:pStyle w:val="Normal"/>
              <w:rPr>
                <w:rFonts w:ascii="Arial" w:hAnsi="Arial" w:cs="Arial"/>
                <w:sz w:val="20"/>
                <w:szCs w:val="20"/>
              </w:rPr>
            </w:pPr>
            <w:r>
              <w:rPr>
                <w:rFonts w:cs="Arial" w:ascii="Arial" w:hAnsi="Arial"/>
                <w:sz w:val="20"/>
                <w:szCs w:val="20"/>
              </w:rPr>
              <w:t>Amaury Junior</w:t>
            </w:r>
          </w:p>
        </w:tc>
      </w:tr>
      <w:tr>
        <w:trPr>
          <w:trHeight w:val="255" w:hRule="atLeast"/>
        </w:trPr>
        <w:tc>
          <w:tcPr>
            <w:tcW w:w="3448" w:type="dxa"/>
            <w:tcBorders/>
            <w:vAlign w:val="bottom"/>
          </w:tcPr>
          <w:p>
            <w:pPr>
              <w:pStyle w:val="Normal"/>
              <w:rPr>
                <w:rFonts w:ascii="Arial" w:hAnsi="Arial" w:cs="Arial"/>
                <w:sz w:val="20"/>
                <w:szCs w:val="20"/>
              </w:rPr>
            </w:pPr>
            <w:r>
              <w:rPr>
                <w:rFonts w:cs="Arial" w:ascii="Arial" w:hAnsi="Arial"/>
                <w:sz w:val="20"/>
                <w:szCs w:val="20"/>
              </w:rPr>
              <w:t>BBV- Bancomer</w:t>
            </w:r>
          </w:p>
        </w:tc>
        <w:tc>
          <w:tcPr>
            <w:tcW w:w="2472" w:type="dxa"/>
            <w:tcBorders/>
            <w:vAlign w:val="bottom"/>
          </w:tcPr>
          <w:p>
            <w:pPr>
              <w:pStyle w:val="Normal"/>
              <w:rPr>
                <w:rFonts w:ascii="Arial" w:hAnsi="Arial" w:cs="Arial"/>
                <w:sz w:val="20"/>
                <w:szCs w:val="20"/>
              </w:rPr>
            </w:pPr>
            <w:r>
              <w:rPr>
                <w:rFonts w:cs="Arial" w:ascii="Arial" w:hAnsi="Arial"/>
                <w:sz w:val="20"/>
                <w:szCs w:val="20"/>
              </w:rPr>
              <w:t>Maria Teresa Vargas</w:t>
            </w:r>
          </w:p>
        </w:tc>
      </w:tr>
      <w:tr>
        <w:trPr>
          <w:trHeight w:val="255" w:hRule="atLeast"/>
        </w:trPr>
        <w:tc>
          <w:tcPr>
            <w:tcW w:w="3448" w:type="dxa"/>
            <w:tcBorders/>
            <w:vAlign w:val="bottom"/>
          </w:tcPr>
          <w:p>
            <w:pPr>
              <w:pStyle w:val="Normal"/>
              <w:rPr>
                <w:rFonts w:ascii="Arial" w:hAnsi="Arial" w:cs="Arial"/>
                <w:sz w:val="20"/>
                <w:szCs w:val="20"/>
              </w:rPr>
            </w:pPr>
            <w:r>
              <w:rPr>
                <w:rFonts w:cs="Arial" w:ascii="Arial" w:hAnsi="Arial"/>
                <w:sz w:val="20"/>
                <w:szCs w:val="20"/>
              </w:rPr>
              <w:t>BNP Pariba</w:t>
            </w:r>
          </w:p>
        </w:tc>
        <w:tc>
          <w:tcPr>
            <w:tcW w:w="2472" w:type="dxa"/>
            <w:tcBorders/>
            <w:vAlign w:val="bottom"/>
          </w:tcPr>
          <w:p>
            <w:pPr>
              <w:pStyle w:val="Normal"/>
              <w:rPr>
                <w:rFonts w:ascii="Arial" w:hAnsi="Arial" w:cs="Arial"/>
                <w:sz w:val="20"/>
                <w:szCs w:val="20"/>
              </w:rPr>
            </w:pPr>
            <w:r>
              <w:rPr>
                <w:rFonts w:cs="Arial" w:ascii="Arial" w:hAnsi="Arial"/>
                <w:sz w:val="20"/>
                <w:szCs w:val="20"/>
              </w:rPr>
              <w:t>Irene Rodriguez</w:t>
            </w:r>
          </w:p>
        </w:tc>
      </w:tr>
      <w:tr>
        <w:trPr>
          <w:trHeight w:val="255" w:hRule="atLeast"/>
        </w:trPr>
        <w:tc>
          <w:tcPr>
            <w:tcW w:w="3448" w:type="dxa"/>
            <w:tcBorders/>
            <w:vAlign w:val="bottom"/>
          </w:tcPr>
          <w:p>
            <w:pPr>
              <w:pStyle w:val="Normal"/>
              <w:rPr>
                <w:rFonts w:ascii="Arial" w:hAnsi="Arial" w:cs="Arial"/>
                <w:sz w:val="20"/>
                <w:szCs w:val="20"/>
              </w:rPr>
            </w:pPr>
            <w:r>
              <w:rPr>
                <w:rFonts w:cs="Arial" w:ascii="Arial" w:hAnsi="Arial"/>
                <w:sz w:val="20"/>
                <w:szCs w:val="20"/>
              </w:rPr>
              <w:t>Banco Santander Central Hispano</w:t>
            </w:r>
          </w:p>
        </w:tc>
        <w:tc>
          <w:tcPr>
            <w:tcW w:w="2472" w:type="dxa"/>
            <w:tcBorders/>
            <w:vAlign w:val="bottom"/>
          </w:tcPr>
          <w:p>
            <w:pPr>
              <w:pStyle w:val="Normal"/>
              <w:rPr>
                <w:rFonts w:ascii="Arial" w:hAnsi="Arial" w:cs="Arial"/>
                <w:sz w:val="20"/>
                <w:szCs w:val="20"/>
              </w:rPr>
            </w:pPr>
            <w:r>
              <w:rPr>
                <w:rFonts w:cs="Arial" w:ascii="Arial" w:hAnsi="Arial"/>
                <w:sz w:val="20"/>
                <w:szCs w:val="20"/>
              </w:rPr>
              <w:t>Jose Luis Frias</w:t>
            </w:r>
          </w:p>
        </w:tc>
      </w:tr>
      <w:tr>
        <w:trPr>
          <w:trHeight w:val="255" w:hRule="atLeast"/>
        </w:trPr>
        <w:tc>
          <w:tcPr>
            <w:tcW w:w="3448" w:type="dxa"/>
            <w:tcBorders/>
            <w:vAlign w:val="bottom"/>
          </w:tcPr>
          <w:p>
            <w:pPr>
              <w:pStyle w:val="Normal"/>
              <w:rPr>
                <w:rFonts w:ascii="Arial" w:hAnsi="Arial" w:cs="Arial"/>
                <w:sz w:val="20"/>
                <w:szCs w:val="20"/>
              </w:rPr>
            </w:pPr>
            <w:r>
              <w:rPr>
                <w:rFonts w:cs="Arial" w:ascii="Arial" w:hAnsi="Arial"/>
                <w:sz w:val="20"/>
                <w:szCs w:val="20"/>
              </w:rPr>
              <w:t>CSFB</w:t>
            </w:r>
          </w:p>
        </w:tc>
        <w:tc>
          <w:tcPr>
            <w:tcW w:w="2472" w:type="dxa"/>
            <w:tcBorders/>
            <w:vAlign w:val="bottom"/>
          </w:tcPr>
          <w:p>
            <w:pPr>
              <w:pStyle w:val="Normal"/>
              <w:rPr>
                <w:rFonts w:ascii="Arial" w:hAnsi="Arial" w:cs="Arial"/>
                <w:sz w:val="20"/>
                <w:szCs w:val="20"/>
              </w:rPr>
            </w:pPr>
            <w:r>
              <w:rPr>
                <w:rFonts w:cs="Arial" w:ascii="Arial" w:hAnsi="Arial"/>
                <w:sz w:val="20"/>
                <w:szCs w:val="20"/>
              </w:rPr>
              <w:t>Manuel Alvarez</w:t>
            </w:r>
          </w:p>
        </w:tc>
      </w:tr>
      <w:tr>
        <w:trPr>
          <w:trHeight w:val="255" w:hRule="atLeast"/>
        </w:trPr>
        <w:tc>
          <w:tcPr>
            <w:tcW w:w="3448" w:type="dxa"/>
            <w:tcBorders/>
            <w:vAlign w:val="bottom"/>
          </w:tcPr>
          <w:p>
            <w:pPr>
              <w:pStyle w:val="Normal"/>
              <w:rPr>
                <w:rFonts w:ascii="Arial" w:hAnsi="Arial" w:cs="Arial"/>
                <w:sz w:val="20"/>
                <w:szCs w:val="20"/>
              </w:rPr>
            </w:pPr>
            <w:r>
              <w:rPr>
                <w:rFonts w:cs="Arial" w:ascii="Arial" w:hAnsi="Arial"/>
                <w:sz w:val="20"/>
                <w:szCs w:val="20"/>
              </w:rPr>
              <w:t>Deutsche Bank</w:t>
            </w:r>
          </w:p>
        </w:tc>
        <w:tc>
          <w:tcPr>
            <w:tcW w:w="2472" w:type="dxa"/>
            <w:tcBorders/>
            <w:vAlign w:val="bottom"/>
          </w:tcPr>
          <w:p>
            <w:pPr>
              <w:pStyle w:val="Normal"/>
              <w:rPr>
                <w:rFonts w:ascii="Arial" w:hAnsi="Arial" w:cs="Arial"/>
                <w:sz w:val="20"/>
                <w:szCs w:val="20"/>
              </w:rPr>
            </w:pPr>
            <w:r>
              <w:rPr>
                <w:rFonts w:cs="Arial" w:ascii="Arial" w:hAnsi="Arial"/>
                <w:sz w:val="20"/>
                <w:szCs w:val="20"/>
              </w:rPr>
              <w:t>Rui Fernando</w:t>
            </w:r>
          </w:p>
        </w:tc>
      </w:tr>
      <w:tr>
        <w:trPr>
          <w:trHeight w:val="255" w:hRule="atLeast"/>
        </w:trPr>
        <w:tc>
          <w:tcPr>
            <w:tcW w:w="3448" w:type="dxa"/>
            <w:tcBorders/>
            <w:vAlign w:val="bottom"/>
          </w:tcPr>
          <w:p>
            <w:pPr>
              <w:pStyle w:val="Normal"/>
              <w:rPr>
                <w:rFonts w:ascii="Arial" w:hAnsi="Arial" w:cs="Arial"/>
                <w:sz w:val="20"/>
                <w:szCs w:val="20"/>
              </w:rPr>
            </w:pPr>
            <w:r>
              <w:rPr>
                <w:rFonts w:cs="Arial" w:ascii="Arial" w:hAnsi="Arial"/>
                <w:sz w:val="20"/>
                <w:szCs w:val="20"/>
              </w:rPr>
              <w:t>Dewey Ballantine</w:t>
            </w:r>
          </w:p>
        </w:tc>
        <w:tc>
          <w:tcPr>
            <w:tcW w:w="2472" w:type="dxa"/>
            <w:tcBorders/>
            <w:vAlign w:val="bottom"/>
          </w:tcPr>
          <w:p>
            <w:pPr>
              <w:pStyle w:val="Normal"/>
              <w:rPr>
                <w:rFonts w:ascii="Arial" w:hAnsi="Arial" w:cs="Arial"/>
                <w:sz w:val="20"/>
                <w:szCs w:val="20"/>
              </w:rPr>
            </w:pPr>
            <w:r>
              <w:rPr>
                <w:rFonts w:cs="Arial" w:ascii="Arial" w:hAnsi="Arial"/>
                <w:sz w:val="20"/>
                <w:szCs w:val="20"/>
              </w:rPr>
              <w:t>Linda Klein</w:t>
            </w:r>
          </w:p>
        </w:tc>
      </w:tr>
      <w:tr>
        <w:trPr>
          <w:trHeight w:val="255" w:hRule="atLeast"/>
        </w:trPr>
        <w:tc>
          <w:tcPr>
            <w:tcW w:w="3448" w:type="dxa"/>
            <w:tcBorders/>
            <w:vAlign w:val="bottom"/>
          </w:tcPr>
          <w:p>
            <w:pPr>
              <w:pStyle w:val="Normal"/>
              <w:rPr>
                <w:rFonts w:ascii="Arial" w:hAnsi="Arial" w:cs="Arial"/>
                <w:sz w:val="20"/>
                <w:szCs w:val="20"/>
              </w:rPr>
            </w:pPr>
            <w:r>
              <w:rPr>
                <w:rFonts w:cs="Arial" w:ascii="Arial" w:hAnsi="Arial"/>
                <w:sz w:val="20"/>
                <w:szCs w:val="20"/>
              </w:rPr>
              <w:t>Goldman Sachs &amp; Co.</w:t>
            </w:r>
          </w:p>
        </w:tc>
        <w:tc>
          <w:tcPr>
            <w:tcW w:w="2472" w:type="dxa"/>
            <w:tcBorders/>
            <w:vAlign w:val="bottom"/>
          </w:tcPr>
          <w:p>
            <w:pPr>
              <w:pStyle w:val="Normal"/>
              <w:rPr>
                <w:rFonts w:ascii="Arial" w:hAnsi="Arial" w:cs="Arial"/>
                <w:sz w:val="20"/>
                <w:szCs w:val="20"/>
              </w:rPr>
            </w:pPr>
            <w:r>
              <w:rPr>
                <w:rFonts w:cs="Arial" w:ascii="Arial" w:hAnsi="Arial"/>
                <w:sz w:val="20"/>
                <w:szCs w:val="20"/>
              </w:rPr>
              <w:t>Ricardo Salaman</w:t>
            </w:r>
          </w:p>
        </w:tc>
      </w:tr>
      <w:tr>
        <w:trPr>
          <w:trHeight w:val="255" w:hRule="atLeast"/>
        </w:trPr>
        <w:tc>
          <w:tcPr>
            <w:tcW w:w="3448" w:type="dxa"/>
            <w:tcBorders/>
            <w:vAlign w:val="bottom"/>
          </w:tcPr>
          <w:p>
            <w:pPr>
              <w:pStyle w:val="Normal"/>
              <w:rPr>
                <w:rFonts w:ascii="Arial" w:hAnsi="Arial" w:cs="Arial"/>
                <w:sz w:val="20"/>
                <w:szCs w:val="20"/>
              </w:rPr>
            </w:pPr>
            <w:r>
              <w:rPr>
                <w:rFonts w:cs="Arial" w:ascii="Arial" w:hAnsi="Arial"/>
                <w:sz w:val="20"/>
                <w:szCs w:val="20"/>
              </w:rPr>
              <w:t>Goldman Sachs &amp; Co</w:t>
            </w:r>
          </w:p>
        </w:tc>
        <w:tc>
          <w:tcPr>
            <w:tcW w:w="2472" w:type="dxa"/>
            <w:tcBorders/>
            <w:vAlign w:val="bottom"/>
          </w:tcPr>
          <w:p>
            <w:pPr>
              <w:pStyle w:val="Normal"/>
              <w:rPr>
                <w:rFonts w:ascii="Arial" w:hAnsi="Arial" w:cs="Arial"/>
                <w:sz w:val="20"/>
                <w:szCs w:val="20"/>
              </w:rPr>
            </w:pPr>
            <w:r>
              <w:rPr>
                <w:rFonts w:cs="Arial" w:ascii="Arial" w:hAnsi="Arial"/>
                <w:sz w:val="20"/>
                <w:szCs w:val="20"/>
              </w:rPr>
              <w:t>Yuri Okumura</w:t>
            </w:r>
          </w:p>
        </w:tc>
      </w:tr>
      <w:tr>
        <w:trPr>
          <w:trHeight w:val="255" w:hRule="atLeast"/>
        </w:trPr>
        <w:tc>
          <w:tcPr>
            <w:tcW w:w="3448" w:type="dxa"/>
            <w:tcBorders/>
            <w:vAlign w:val="bottom"/>
          </w:tcPr>
          <w:p>
            <w:pPr>
              <w:pStyle w:val="Normal"/>
              <w:rPr>
                <w:rFonts w:ascii="Arial" w:hAnsi="Arial" w:cs="Arial"/>
                <w:sz w:val="20"/>
                <w:szCs w:val="20"/>
              </w:rPr>
            </w:pPr>
            <w:r>
              <w:rPr>
                <w:rFonts w:cs="Arial" w:ascii="Arial" w:hAnsi="Arial"/>
                <w:sz w:val="20"/>
                <w:szCs w:val="20"/>
              </w:rPr>
              <w:t>Itau</w:t>
            </w:r>
          </w:p>
        </w:tc>
        <w:tc>
          <w:tcPr>
            <w:tcW w:w="2472" w:type="dxa"/>
            <w:tcBorders/>
            <w:vAlign w:val="bottom"/>
          </w:tcPr>
          <w:p>
            <w:pPr>
              <w:pStyle w:val="Normal"/>
              <w:rPr>
                <w:rFonts w:ascii="Arial" w:hAnsi="Arial" w:cs="Arial"/>
                <w:sz w:val="20"/>
                <w:szCs w:val="20"/>
              </w:rPr>
            </w:pPr>
            <w:r>
              <w:rPr>
                <w:rFonts w:cs="Arial" w:ascii="Arial" w:hAnsi="Arial"/>
                <w:sz w:val="20"/>
                <w:szCs w:val="20"/>
              </w:rPr>
              <w:t>Lavinia Moraes</w:t>
            </w:r>
          </w:p>
        </w:tc>
      </w:tr>
      <w:tr>
        <w:trPr>
          <w:trHeight w:val="255" w:hRule="atLeast"/>
        </w:trPr>
        <w:tc>
          <w:tcPr>
            <w:tcW w:w="3448" w:type="dxa"/>
            <w:tcBorders/>
            <w:vAlign w:val="bottom"/>
          </w:tcPr>
          <w:p>
            <w:pPr>
              <w:pStyle w:val="Normal"/>
              <w:rPr>
                <w:rFonts w:ascii="Arial" w:hAnsi="Arial" w:cs="Arial"/>
                <w:sz w:val="20"/>
                <w:szCs w:val="20"/>
              </w:rPr>
            </w:pPr>
            <w:r>
              <w:rPr>
                <w:rFonts w:cs="Arial" w:ascii="Arial" w:hAnsi="Arial"/>
                <w:sz w:val="20"/>
                <w:szCs w:val="20"/>
              </w:rPr>
              <w:t>JP Morgan Chase</w:t>
            </w:r>
          </w:p>
        </w:tc>
        <w:tc>
          <w:tcPr>
            <w:tcW w:w="2472" w:type="dxa"/>
            <w:tcBorders/>
            <w:vAlign w:val="bottom"/>
          </w:tcPr>
          <w:p>
            <w:pPr>
              <w:pStyle w:val="Normal"/>
              <w:rPr>
                <w:rFonts w:ascii="Arial" w:hAnsi="Arial" w:cs="Arial"/>
                <w:sz w:val="20"/>
                <w:szCs w:val="20"/>
              </w:rPr>
            </w:pPr>
            <w:r>
              <w:rPr>
                <w:rFonts w:cs="Arial" w:ascii="Arial" w:hAnsi="Arial"/>
                <w:sz w:val="20"/>
                <w:szCs w:val="20"/>
              </w:rPr>
              <w:t>Sandra Gutierrez</w:t>
            </w:r>
          </w:p>
        </w:tc>
      </w:tr>
      <w:tr>
        <w:trPr>
          <w:trHeight w:val="255" w:hRule="atLeast"/>
        </w:trPr>
        <w:tc>
          <w:tcPr>
            <w:tcW w:w="3448" w:type="dxa"/>
            <w:tcBorders/>
            <w:vAlign w:val="bottom"/>
          </w:tcPr>
          <w:p>
            <w:pPr>
              <w:pStyle w:val="Normal"/>
              <w:rPr>
                <w:rFonts w:ascii="Arial" w:hAnsi="Arial" w:cs="Arial"/>
                <w:sz w:val="20"/>
                <w:szCs w:val="20"/>
              </w:rPr>
            </w:pPr>
            <w:r>
              <w:rPr>
                <w:rFonts w:cs="Arial" w:ascii="Arial" w:hAnsi="Arial"/>
                <w:sz w:val="20"/>
                <w:szCs w:val="20"/>
              </w:rPr>
              <w:t>JP Morgan Chase</w:t>
            </w:r>
          </w:p>
        </w:tc>
        <w:tc>
          <w:tcPr>
            <w:tcW w:w="2472" w:type="dxa"/>
            <w:tcBorders/>
            <w:vAlign w:val="bottom"/>
          </w:tcPr>
          <w:p>
            <w:pPr>
              <w:pStyle w:val="Normal"/>
              <w:rPr>
                <w:rFonts w:ascii="Arial" w:hAnsi="Arial" w:cs="Arial"/>
                <w:sz w:val="20"/>
                <w:szCs w:val="20"/>
              </w:rPr>
            </w:pPr>
            <w:r>
              <w:rPr>
                <w:rFonts w:cs="Arial" w:ascii="Arial" w:hAnsi="Arial"/>
                <w:sz w:val="20"/>
                <w:szCs w:val="20"/>
              </w:rPr>
              <w:t>Facundo Gomez Minujin</w:t>
            </w:r>
          </w:p>
        </w:tc>
      </w:tr>
      <w:tr>
        <w:trPr>
          <w:trHeight w:val="255" w:hRule="atLeast"/>
        </w:trPr>
        <w:tc>
          <w:tcPr>
            <w:tcW w:w="3448" w:type="dxa"/>
            <w:tcBorders/>
            <w:vAlign w:val="bottom"/>
          </w:tcPr>
          <w:p>
            <w:pPr>
              <w:pStyle w:val="Normal"/>
              <w:rPr>
                <w:rFonts w:ascii="Arial" w:hAnsi="Arial" w:cs="Arial"/>
                <w:sz w:val="20"/>
                <w:szCs w:val="20"/>
              </w:rPr>
            </w:pPr>
            <w:r>
              <w:rPr>
                <w:rFonts w:cs="Arial" w:ascii="Arial" w:hAnsi="Arial"/>
                <w:sz w:val="20"/>
                <w:szCs w:val="20"/>
              </w:rPr>
              <w:t>JP Morgan Chase</w:t>
            </w:r>
          </w:p>
        </w:tc>
        <w:tc>
          <w:tcPr>
            <w:tcW w:w="2472" w:type="dxa"/>
            <w:tcBorders/>
            <w:vAlign w:val="bottom"/>
          </w:tcPr>
          <w:p>
            <w:pPr>
              <w:pStyle w:val="Normal"/>
              <w:rPr>
                <w:rFonts w:ascii="Arial" w:hAnsi="Arial" w:cs="Arial"/>
                <w:sz w:val="20"/>
                <w:szCs w:val="20"/>
              </w:rPr>
            </w:pPr>
            <w:r>
              <w:rPr>
                <w:rFonts w:cs="Arial" w:ascii="Arial" w:hAnsi="Arial"/>
                <w:sz w:val="20"/>
                <w:szCs w:val="20"/>
              </w:rPr>
              <w:t>Diane Genova</w:t>
            </w:r>
          </w:p>
        </w:tc>
      </w:tr>
      <w:tr>
        <w:trPr>
          <w:trHeight w:val="255" w:hRule="atLeast"/>
        </w:trPr>
        <w:tc>
          <w:tcPr>
            <w:tcW w:w="3448" w:type="dxa"/>
            <w:tcBorders/>
            <w:vAlign w:val="bottom"/>
          </w:tcPr>
          <w:p>
            <w:pPr>
              <w:pStyle w:val="Normal"/>
              <w:rPr>
                <w:rFonts w:ascii="Arial" w:hAnsi="Arial" w:cs="Arial"/>
                <w:sz w:val="20"/>
                <w:szCs w:val="20"/>
              </w:rPr>
            </w:pPr>
            <w:r>
              <w:rPr>
                <w:rFonts w:cs="Arial" w:ascii="Arial" w:hAnsi="Arial"/>
                <w:sz w:val="20"/>
                <w:szCs w:val="20"/>
              </w:rPr>
              <w:t>Marval O’ Farrel &amp; Mairal</w:t>
            </w:r>
          </w:p>
        </w:tc>
        <w:tc>
          <w:tcPr>
            <w:tcW w:w="2472" w:type="dxa"/>
            <w:tcBorders/>
            <w:vAlign w:val="bottom"/>
          </w:tcPr>
          <w:p>
            <w:pPr>
              <w:pStyle w:val="Normal"/>
              <w:rPr>
                <w:rFonts w:ascii="Arial" w:hAnsi="Arial" w:cs="Arial"/>
                <w:sz w:val="20"/>
                <w:szCs w:val="20"/>
              </w:rPr>
            </w:pPr>
            <w:r>
              <w:rPr>
                <w:rFonts w:cs="Arial" w:ascii="Arial" w:hAnsi="Arial"/>
                <w:sz w:val="20"/>
                <w:szCs w:val="20"/>
              </w:rPr>
              <w:t>Patricia Lopez Aufranc</w:t>
            </w:r>
          </w:p>
        </w:tc>
      </w:tr>
      <w:tr>
        <w:trPr>
          <w:trHeight w:val="255" w:hRule="atLeast"/>
        </w:trPr>
        <w:tc>
          <w:tcPr>
            <w:tcW w:w="3448" w:type="dxa"/>
            <w:tcBorders/>
            <w:vAlign w:val="bottom"/>
          </w:tcPr>
          <w:p>
            <w:pPr>
              <w:pStyle w:val="Normal"/>
              <w:rPr>
                <w:rFonts w:ascii="Arial" w:hAnsi="Arial" w:cs="Arial"/>
                <w:sz w:val="20"/>
                <w:szCs w:val="20"/>
              </w:rPr>
            </w:pPr>
            <w:r>
              <w:rPr>
                <w:rFonts w:cs="Arial" w:ascii="Arial" w:hAnsi="Arial"/>
                <w:sz w:val="20"/>
                <w:szCs w:val="20"/>
              </w:rPr>
              <w:t>Merrill Lynch</w:t>
            </w:r>
          </w:p>
        </w:tc>
        <w:tc>
          <w:tcPr>
            <w:tcW w:w="2472" w:type="dxa"/>
            <w:tcBorders/>
            <w:vAlign w:val="bottom"/>
          </w:tcPr>
          <w:p>
            <w:pPr>
              <w:pStyle w:val="Normal"/>
              <w:rPr>
                <w:rFonts w:ascii="Arial" w:hAnsi="Arial" w:cs="Arial"/>
                <w:sz w:val="20"/>
                <w:szCs w:val="20"/>
              </w:rPr>
            </w:pPr>
            <w:r>
              <w:rPr>
                <w:rFonts w:cs="Arial" w:ascii="Arial" w:hAnsi="Arial"/>
                <w:sz w:val="20"/>
                <w:szCs w:val="20"/>
              </w:rPr>
              <w:t>Luciana Bittar</w:t>
            </w:r>
          </w:p>
        </w:tc>
      </w:tr>
      <w:tr>
        <w:trPr>
          <w:trHeight w:val="255" w:hRule="atLeast"/>
        </w:trPr>
        <w:tc>
          <w:tcPr>
            <w:tcW w:w="3448" w:type="dxa"/>
            <w:tcBorders/>
            <w:vAlign w:val="bottom"/>
          </w:tcPr>
          <w:p>
            <w:pPr>
              <w:pStyle w:val="Normal"/>
              <w:rPr>
                <w:rFonts w:ascii="Arial" w:hAnsi="Arial" w:cs="Arial"/>
                <w:sz w:val="20"/>
                <w:szCs w:val="20"/>
              </w:rPr>
            </w:pPr>
            <w:r>
              <w:rPr>
                <w:rFonts w:cs="Arial" w:ascii="Arial" w:hAnsi="Arial"/>
                <w:sz w:val="20"/>
                <w:szCs w:val="20"/>
              </w:rPr>
              <w:t>Pinheiro Neto – Advogados</w:t>
            </w:r>
          </w:p>
        </w:tc>
        <w:tc>
          <w:tcPr>
            <w:tcW w:w="2472" w:type="dxa"/>
            <w:tcBorders/>
            <w:vAlign w:val="bottom"/>
          </w:tcPr>
          <w:p>
            <w:pPr>
              <w:pStyle w:val="Normal"/>
              <w:rPr>
                <w:rFonts w:ascii="Arial" w:hAnsi="Arial" w:cs="Arial"/>
                <w:sz w:val="20"/>
                <w:szCs w:val="20"/>
              </w:rPr>
            </w:pPr>
            <w:r>
              <w:rPr>
                <w:rFonts w:cs="Arial" w:ascii="Arial" w:hAnsi="Arial"/>
                <w:sz w:val="20"/>
                <w:szCs w:val="20"/>
              </w:rPr>
              <w:t>Tiago Lessa</w:t>
            </w:r>
          </w:p>
        </w:tc>
      </w:tr>
    </w:tbl>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360" w:end="0"/>
      <w:jc w:val="both"/>
      <w:outlineLvl w:val="1"/>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2001-09-28T19:17:00Z</dcterms:created>
  <dc:creator>Valued Sony Customer</dc:creator>
  <dc:description/>
  <dc:language>en-CA</dc:language>
  <cp:lastModifiedBy>Valued Sony Customer</cp:lastModifiedBy>
  <cp:lastPrinted>2001-05-14T11:19:00Z</cp:lastPrinted>
  <dcterms:modified xsi:type="dcterms:W3CDTF">2001-09-28T19:34:00Z</dcterms:modified>
  <cp:revision>4</cp:revision>
  <dc:subject/>
  <dc:title>Mexican Subcommittee Meeting-3</dc:title>
</cp:coreProperties>
</file>