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Brazilian Subcommittee Meeting-4</w:t>
      </w:r>
    </w:p>
    <w:p>
      <w:pPr>
        <w:pStyle w:val="Normal"/>
        <w:jc w:val="both"/>
        <w:rPr/>
      </w:pPr>
      <w:r>
        <w:rPr/>
      </w:r>
    </w:p>
    <w:p>
      <w:pPr>
        <w:pStyle w:val="Normal"/>
        <w:jc w:val="both"/>
        <w:rPr/>
      </w:pPr>
      <w:r>
        <w:rPr/>
        <w:t>Monday, March 12, 2001</w:t>
      </w:r>
    </w:p>
    <w:p>
      <w:pPr>
        <w:pStyle w:val="Normal"/>
        <w:jc w:val="both"/>
        <w:rPr/>
      </w:pPr>
      <w:r>
        <w:rPr/>
        <w:t>ISDA, 600 Fifth Ave. New York, NY 10020</w:t>
      </w:r>
    </w:p>
    <w:p>
      <w:pPr>
        <w:pStyle w:val="Normal"/>
        <w:jc w:val="both"/>
        <w:rPr/>
      </w:pPr>
      <w:r>
        <w:rPr/>
        <w:t>.</w:t>
      </w:r>
    </w:p>
    <w:p>
      <w:pPr>
        <w:pStyle w:val="Normal"/>
        <w:jc w:val="both"/>
        <w:rPr>
          <w:b/>
          <w:bCs/>
        </w:rPr>
      </w:pPr>
      <w:r>
        <w:rPr>
          <w:b/>
          <w:bCs/>
        </w:rPr>
        <w:t>Agenda:</w:t>
      </w:r>
    </w:p>
    <w:p>
      <w:pPr>
        <w:pStyle w:val="Normal"/>
        <w:jc w:val="both"/>
        <w:rPr>
          <w:b/>
          <w:bCs/>
        </w:rPr>
      </w:pPr>
      <w:r>
        <w:rPr>
          <w:b/>
          <w:bCs/>
        </w:rPr>
        <w:tab/>
      </w:r>
    </w:p>
    <w:p>
      <w:pPr>
        <w:pStyle w:val="Normal"/>
        <w:numPr>
          <w:ilvl w:val="0"/>
          <w:numId w:val="2"/>
        </w:numPr>
        <w:jc w:val="both"/>
        <w:rPr/>
      </w:pPr>
      <w:r>
        <w:rPr/>
        <w:t>Proposed amendment to the Medida Provisoria: Up-date.</w:t>
      </w:r>
    </w:p>
    <w:p>
      <w:pPr>
        <w:pStyle w:val="Normal"/>
        <w:numPr>
          <w:ilvl w:val="0"/>
          <w:numId w:val="2"/>
        </w:numPr>
        <w:jc w:val="both"/>
        <w:rPr/>
      </w:pPr>
      <w:r>
        <w:rPr/>
        <w:t>Local Master Agreements.</w:t>
      </w:r>
    </w:p>
    <w:p>
      <w:pPr>
        <w:pStyle w:val="Normal"/>
        <w:numPr>
          <w:ilvl w:val="0"/>
          <w:numId w:val="2"/>
        </w:numPr>
        <w:jc w:val="both"/>
        <w:rPr/>
      </w:pPr>
      <w:r>
        <w:rPr/>
        <w:t>ISDA visit to Brazil.</w:t>
      </w:r>
    </w:p>
    <w:p>
      <w:pPr>
        <w:pStyle w:val="Normal"/>
        <w:numPr>
          <w:ilvl w:val="0"/>
          <w:numId w:val="2"/>
        </w:numPr>
        <w:jc w:val="both"/>
        <w:rPr/>
      </w:pPr>
      <w:r>
        <w:rPr/>
        <w:t>Credit derivatives working group.</w:t>
      </w:r>
    </w:p>
    <w:p>
      <w:pPr>
        <w:pStyle w:val="Normal"/>
        <w:numPr>
          <w:ilvl w:val="0"/>
          <w:numId w:val="4"/>
        </w:numPr>
        <w:jc w:val="both"/>
        <w:rPr/>
      </w:pPr>
      <w:r>
        <w:rPr/>
        <w:t>Open the floor for additional comments or business issues.</w:t>
      </w:r>
    </w:p>
    <w:p>
      <w:pPr>
        <w:pStyle w:val="Normal"/>
        <w:numPr>
          <w:ilvl w:val="0"/>
          <w:numId w:val="4"/>
        </w:numPr>
        <w:jc w:val="both"/>
        <w:rPr/>
      </w:pPr>
      <w:r>
        <w:rPr/>
        <w:t>Set time and date for next subcommittee meeting.</w:t>
      </w:r>
    </w:p>
    <w:p>
      <w:pPr>
        <w:pStyle w:val="Normal"/>
        <w:jc w:val="both"/>
        <w:rPr/>
      </w:pPr>
      <w:r>
        <w:rPr/>
      </w:r>
    </w:p>
    <w:p>
      <w:pPr>
        <w:pStyle w:val="Normal"/>
        <w:jc w:val="both"/>
        <w:rPr>
          <w:b/>
          <w:bCs/>
        </w:rPr>
      </w:pPr>
      <w:r>
        <w:rPr>
          <w:b/>
          <w:bCs/>
        </w:rPr>
        <w:t>Minutes of Meeting:</w:t>
      </w:r>
    </w:p>
    <w:p>
      <w:pPr>
        <w:pStyle w:val="Normal"/>
        <w:jc w:val="both"/>
        <w:rPr>
          <w:b/>
          <w:bCs/>
        </w:rPr>
      </w:pPr>
      <w:r>
        <w:rPr>
          <w:b/>
          <w:bCs/>
        </w:rPr>
      </w:r>
    </w:p>
    <w:p>
      <w:pPr>
        <w:pStyle w:val="Normal"/>
        <w:numPr>
          <w:ilvl w:val="0"/>
          <w:numId w:val="3"/>
        </w:numPr>
        <w:jc w:val="both"/>
        <w:rPr>
          <w:b/>
          <w:bCs/>
        </w:rPr>
      </w:pPr>
      <w:r>
        <w:rPr/>
        <w:t>Ravi Tennekoon called the meeting to order.</w:t>
      </w:r>
    </w:p>
    <w:p>
      <w:pPr>
        <w:pStyle w:val="Normal"/>
        <w:numPr>
          <w:ilvl w:val="0"/>
          <w:numId w:val="3"/>
        </w:numPr>
        <w:jc w:val="both"/>
        <w:rPr>
          <w:b/>
          <w:bCs/>
        </w:rPr>
      </w:pPr>
      <w:r>
        <w:rPr/>
        <w:t xml:space="preserve">Marcio Bonfiglioli and others will meet on Wednesday, March 14, 2001, with Mr. Clarence Joseph Hillerman from the Central Bank of Brazil to follow-up on the proposed amendment to the existent Medida Provisoria. </w:t>
      </w:r>
    </w:p>
    <w:p>
      <w:pPr>
        <w:pStyle w:val="Normal"/>
        <w:numPr>
          <w:ilvl w:val="0"/>
          <w:numId w:val="3"/>
        </w:numPr>
        <w:jc w:val="both"/>
        <w:rPr>
          <w:b/>
          <w:bCs/>
        </w:rPr>
      </w:pPr>
      <w:r>
        <w:rPr/>
        <w:t xml:space="preserve">Members of the subcommittee agreed to provide a copy of the local master agreements used by their respective institutions to Pedro Martinez.  </w:t>
      </w:r>
    </w:p>
    <w:p>
      <w:pPr>
        <w:pStyle w:val="Header"/>
        <w:numPr>
          <w:ilvl w:val="0"/>
          <w:numId w:val="3"/>
        </w:numPr>
        <w:tabs>
          <w:tab w:val="clear" w:pos="4320"/>
          <w:tab w:val="clear" w:pos="8640"/>
          <w:tab w:val="left" w:pos="11482" w:leader="none"/>
        </w:tabs>
        <w:jc w:val="both"/>
        <w:rPr>
          <w:sz w:val="24"/>
        </w:rPr>
      </w:pPr>
      <w:r>
        <w:rPr>
          <w:sz w:val="24"/>
        </w:rPr>
        <w:t xml:space="preserve">ISDA will prepare a delegation and an agenda to further discuss and address the issue with the following Brazilian institutions: 1) </w:t>
      </w:r>
      <w:r>
        <w:rPr>
          <w:bCs/>
          <w:sz w:val="24"/>
        </w:rPr>
        <w:t xml:space="preserve">the Central Bank of Brazil (BACEN); 2) Brazilian Chamber of Risk Management (CAR); 3) Brazilian Bankers Association (FEBRABAN); 4) The Commodities and Futures Exchange (BM&amp;F) 5) Brazilian Development Bank (BNDES); 6) Centralized Custody and Financial Settlement of Securities (CETIP); 7) The Brazilian Clearing and Depository Corporation (CBLC); 8) International Bank Association (ABBI); 9) Securities and Exchange Commission (CVM); 10) Foreign and local financial institutions; and 11) Regulators and others. </w:t>
      </w:r>
      <w:r>
        <w:rPr>
          <w:sz w:val="24"/>
        </w:rPr>
        <w:t>These institutions are located mainly in three cities: Sao Paulo, Brasilia and Rio de Janeiro. The idea is to schedule the trip for the week of the 16</w:t>
      </w:r>
      <w:r>
        <w:rPr>
          <w:sz w:val="24"/>
          <w:vertAlign w:val="superscript"/>
        </w:rPr>
        <w:t>th</w:t>
      </w:r>
      <w:r>
        <w:rPr>
          <w:sz w:val="24"/>
        </w:rPr>
        <w:t xml:space="preserve"> or 23rd of April of this year.</w:t>
      </w:r>
    </w:p>
    <w:p>
      <w:pPr>
        <w:pStyle w:val="Header"/>
        <w:numPr>
          <w:ilvl w:val="0"/>
          <w:numId w:val="3"/>
        </w:numPr>
        <w:tabs>
          <w:tab w:val="clear" w:pos="4320"/>
          <w:tab w:val="clear" w:pos="8640"/>
          <w:tab w:val="left" w:pos="11482" w:leader="none"/>
        </w:tabs>
        <w:jc w:val="both"/>
        <w:rPr>
          <w:sz w:val="24"/>
        </w:rPr>
      </w:pPr>
      <w:r>
        <w:rPr>
          <w:sz w:val="24"/>
        </w:rPr>
        <w:t xml:space="preserve">There is a group of individuals representing major foreign and local financial institutions working on credit derivatives in Brazil. ISDA’s Brazilian subcommittee would like to get involved with the various subcommittees that are working on credit derivatives issues in Brazil. According to Mr. Bonfiglioli, right now the groups are looking at issues of accounting, tax and legal for credit default swaps. In addition, as next steps the groups are looking to focus on credit link notes and total return swaps as well. Mr. Bonfiglioli will send to Mr. Martinez a copy of the resolution draft that was sent to the Brazilian Central Bank and a list of individuals involved in the task force. </w:t>
      </w:r>
    </w:p>
    <w:p>
      <w:pPr>
        <w:pStyle w:val="Normal"/>
        <w:numPr>
          <w:ilvl w:val="0"/>
          <w:numId w:val="3"/>
        </w:numPr>
        <w:jc w:val="both"/>
        <w:rPr/>
      </w:pPr>
      <w:r>
        <w:rPr/>
        <w:t xml:space="preserve">It was agreed that our next Brazilian subcommittee meeting would be held on Monday, April 2, 2001 at 9:30 am New York time. </w:t>
      </w:r>
    </w:p>
    <w:p>
      <w:pPr>
        <w:pStyle w:val="Normal"/>
        <w:ind w:start="720" w:end="0"/>
        <w:jc w:val="both"/>
        <w:rPr>
          <w:b/>
          <w:bCs/>
        </w:rPr>
      </w:pPr>
      <w:r>
        <w:rPr>
          <w:b/>
          <w:bCs/>
        </w:rPr>
      </w:r>
    </w:p>
    <w:p>
      <w:pPr>
        <w:pStyle w:val="Normal"/>
        <w:jc w:val="both"/>
        <w:rPr>
          <w:b/>
          <w:bCs/>
        </w:rPr>
      </w:pPr>
      <w:r>
        <w:rPr>
          <w:b/>
          <w:bCs/>
        </w:rPr>
        <w:t>Attendees:</w:t>
      </w:r>
    </w:p>
    <w:p>
      <w:pPr>
        <w:pStyle w:val="Normal"/>
        <w:jc w:val="both"/>
        <w:rPr>
          <w:b/>
          <w:bCs/>
        </w:rPr>
      </w:pPr>
      <w:r>
        <w:rPr>
          <w:b/>
          <w:bCs/>
        </w:rPr>
      </w:r>
    </w:p>
    <w:tbl>
      <w:tblPr>
        <w:tblW w:w="6440" w:type="dxa"/>
        <w:jc w:val="start"/>
        <w:tblInd w:w="0" w:type="dxa"/>
        <w:tblLayout w:type="fixed"/>
        <w:tblCellMar>
          <w:top w:w="15" w:type="dxa"/>
          <w:start w:w="15" w:type="dxa"/>
          <w:bottom w:w="0" w:type="dxa"/>
          <w:end w:w="15" w:type="dxa"/>
        </w:tblCellMar>
      </w:tblPr>
      <w:tblGrid>
        <w:gridCol w:w="3220"/>
        <w:gridCol w:w="3220"/>
      </w:tblGrid>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ABN Amro</w:t>
            </w:r>
          </w:p>
        </w:tc>
        <w:tc>
          <w:tcPr>
            <w:tcW w:w="3220" w:type="dxa"/>
            <w:tcBorders/>
            <w:vAlign w:val="bottom"/>
          </w:tcPr>
          <w:p>
            <w:pPr>
              <w:pStyle w:val="Normal"/>
              <w:rPr>
                <w:rFonts w:ascii="Arial" w:hAnsi="Arial" w:cs="Arial"/>
                <w:sz w:val="20"/>
                <w:szCs w:val="20"/>
              </w:rPr>
            </w:pPr>
            <w:r>
              <w:rPr>
                <w:rFonts w:cs="Arial" w:ascii="Arial" w:hAnsi="Arial"/>
                <w:sz w:val="20"/>
                <w:szCs w:val="20"/>
              </w:rPr>
              <w:t>Ravi Tennekoon (Co- chair)</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Banco Santander Central Hispano</w:t>
            </w:r>
          </w:p>
        </w:tc>
        <w:tc>
          <w:tcPr>
            <w:tcW w:w="3220" w:type="dxa"/>
            <w:tcBorders/>
            <w:vAlign w:val="bottom"/>
          </w:tcPr>
          <w:p>
            <w:pPr>
              <w:pStyle w:val="Normal"/>
              <w:rPr>
                <w:rFonts w:ascii="Arial" w:hAnsi="Arial" w:cs="Arial"/>
                <w:sz w:val="20"/>
                <w:szCs w:val="20"/>
              </w:rPr>
            </w:pPr>
            <w:r>
              <w:rPr>
                <w:rFonts w:cs="Arial" w:ascii="Arial" w:hAnsi="Arial"/>
                <w:sz w:val="20"/>
                <w:szCs w:val="20"/>
              </w:rPr>
              <w:t>Jose Luis Frias</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Bank of America</w:t>
            </w:r>
          </w:p>
        </w:tc>
        <w:tc>
          <w:tcPr>
            <w:tcW w:w="3220" w:type="dxa"/>
            <w:tcBorders/>
            <w:vAlign w:val="bottom"/>
          </w:tcPr>
          <w:p>
            <w:pPr>
              <w:pStyle w:val="Normal"/>
              <w:rPr>
                <w:rFonts w:ascii="Arial" w:hAnsi="Arial" w:cs="Arial"/>
                <w:sz w:val="20"/>
                <w:szCs w:val="20"/>
              </w:rPr>
            </w:pPr>
            <w:r>
              <w:rPr>
                <w:rFonts w:cs="Arial" w:ascii="Arial" w:hAnsi="Arial"/>
                <w:sz w:val="20"/>
                <w:szCs w:val="20"/>
              </w:rPr>
              <w:t>Marcio Bonfiglioli (Co-chair)</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Goldman Sachs</w:t>
            </w:r>
          </w:p>
        </w:tc>
        <w:tc>
          <w:tcPr>
            <w:tcW w:w="3220" w:type="dxa"/>
            <w:tcBorders/>
            <w:vAlign w:val="bottom"/>
          </w:tcPr>
          <w:p>
            <w:pPr>
              <w:pStyle w:val="Normal"/>
              <w:rPr>
                <w:rFonts w:ascii="Arial" w:hAnsi="Arial" w:cs="Arial"/>
                <w:sz w:val="20"/>
                <w:szCs w:val="20"/>
              </w:rPr>
            </w:pPr>
            <w:r>
              <w:rPr>
                <w:rFonts w:cs="Arial" w:ascii="Arial" w:hAnsi="Arial"/>
                <w:sz w:val="20"/>
                <w:szCs w:val="20"/>
              </w:rPr>
              <w:t>Ricardo Salaman</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ISDA</w:t>
            </w:r>
          </w:p>
        </w:tc>
        <w:tc>
          <w:tcPr>
            <w:tcW w:w="3220" w:type="dxa"/>
            <w:tcBorders/>
            <w:vAlign w:val="bottom"/>
          </w:tcPr>
          <w:p>
            <w:pPr>
              <w:pStyle w:val="Normal"/>
              <w:rPr>
                <w:rFonts w:ascii="Arial" w:hAnsi="Arial" w:cs="Arial"/>
                <w:sz w:val="20"/>
                <w:szCs w:val="20"/>
              </w:rPr>
            </w:pPr>
            <w:r>
              <w:rPr>
                <w:rFonts w:cs="Arial" w:ascii="Arial" w:hAnsi="Arial"/>
                <w:sz w:val="20"/>
                <w:szCs w:val="20"/>
              </w:rPr>
              <w:t>Pedro Martinez Delgado</w:t>
            </w:r>
          </w:p>
        </w:tc>
      </w:tr>
    </w:tbl>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2001-03-12T13:44:00Z</dcterms:created>
  <dc:creator>Valued Sony Customer</dc:creator>
  <dc:description/>
  <dc:language>en-CA</dc:language>
  <cp:lastModifiedBy>Valued Sony Customer</cp:lastModifiedBy>
  <cp:lastPrinted>2000-12-05T09:44:00Z</cp:lastPrinted>
  <dcterms:modified xsi:type="dcterms:W3CDTF">2001-03-20T14:31:00Z</dcterms:modified>
  <cp:revision>8</cp:revision>
  <dc:subject/>
  <dc:title>Agenda:</dc:title>
</cp:coreProperties>
</file>