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jc w:val="both"/>
        <w:rPr/>
      </w:pPr>
      <w:r>
        <w:rPr/>
        <w:t>Brazilian Subcommittee Meeting-3</w:t>
      </w:r>
    </w:p>
    <w:p>
      <w:pPr>
        <w:pStyle w:val="Normal"/>
        <w:jc w:val="both"/>
        <w:rPr/>
      </w:pPr>
      <w:r>
        <w:rPr/>
      </w:r>
    </w:p>
    <w:p>
      <w:pPr>
        <w:pStyle w:val="Normal"/>
        <w:jc w:val="both"/>
        <w:rPr/>
      </w:pPr>
      <w:r>
        <w:rPr/>
        <w:t>Tuesday, February 20, 2001</w:t>
      </w:r>
    </w:p>
    <w:p>
      <w:pPr>
        <w:pStyle w:val="Normal"/>
        <w:jc w:val="both"/>
        <w:rPr/>
      </w:pPr>
      <w:r>
        <w:rPr/>
        <w:t>ISDA, 600 Fifth Ave. New York, NY 10020</w:t>
      </w:r>
    </w:p>
    <w:p>
      <w:pPr>
        <w:pStyle w:val="Normal"/>
        <w:jc w:val="both"/>
        <w:rPr/>
      </w:pPr>
      <w:r>
        <w:rPr/>
        <w:t>.</w:t>
      </w:r>
    </w:p>
    <w:p>
      <w:pPr>
        <w:pStyle w:val="Normal"/>
        <w:jc w:val="both"/>
        <w:rPr>
          <w:b/>
          <w:bCs/>
        </w:rPr>
      </w:pPr>
      <w:r>
        <w:rPr>
          <w:b/>
          <w:bCs/>
        </w:rPr>
        <w:t>Agenda:</w:t>
      </w:r>
    </w:p>
    <w:p>
      <w:pPr>
        <w:pStyle w:val="Normal"/>
        <w:jc w:val="both"/>
        <w:rPr>
          <w:b/>
          <w:bCs/>
        </w:rPr>
      </w:pPr>
      <w:r>
        <w:rPr>
          <w:b/>
          <w:bCs/>
        </w:rPr>
        <w:tab/>
      </w:r>
    </w:p>
    <w:p>
      <w:pPr>
        <w:pStyle w:val="Normal"/>
        <w:numPr>
          <w:ilvl w:val="0"/>
          <w:numId w:val="2"/>
        </w:numPr>
        <w:jc w:val="both"/>
        <w:rPr/>
      </w:pPr>
      <w:r>
        <w:rPr/>
        <w:t>Update on proposed Medida Provisoria.</w:t>
      </w:r>
    </w:p>
    <w:p>
      <w:pPr>
        <w:pStyle w:val="Normal"/>
        <w:numPr>
          <w:ilvl w:val="0"/>
          <w:numId w:val="2"/>
        </w:numPr>
        <w:jc w:val="both"/>
        <w:rPr/>
      </w:pPr>
      <w:r>
        <w:rPr/>
        <w:t>Next Steps.</w:t>
      </w:r>
    </w:p>
    <w:p>
      <w:pPr>
        <w:pStyle w:val="Normal"/>
        <w:numPr>
          <w:ilvl w:val="0"/>
          <w:numId w:val="4"/>
        </w:numPr>
        <w:jc w:val="both"/>
        <w:rPr/>
      </w:pPr>
      <w:r>
        <w:rPr/>
        <w:t>Open the floor for additional comments or business issues.</w:t>
      </w:r>
    </w:p>
    <w:p>
      <w:pPr>
        <w:pStyle w:val="Normal"/>
        <w:numPr>
          <w:ilvl w:val="0"/>
          <w:numId w:val="4"/>
        </w:numPr>
        <w:jc w:val="both"/>
        <w:rPr/>
      </w:pPr>
      <w:r>
        <w:rPr/>
        <w:t>Set time and date for next subcommittee meeting.</w:t>
      </w:r>
    </w:p>
    <w:p>
      <w:pPr>
        <w:pStyle w:val="Normal"/>
        <w:jc w:val="both"/>
        <w:rPr/>
      </w:pPr>
      <w:r>
        <w:rPr/>
      </w:r>
    </w:p>
    <w:p>
      <w:pPr>
        <w:pStyle w:val="Normal"/>
        <w:jc w:val="both"/>
        <w:rPr>
          <w:b/>
          <w:bCs/>
        </w:rPr>
      </w:pPr>
      <w:r>
        <w:rPr>
          <w:b/>
          <w:bCs/>
        </w:rPr>
        <w:t>Minutes of Meeting:</w:t>
      </w:r>
    </w:p>
    <w:p>
      <w:pPr>
        <w:pStyle w:val="Normal"/>
        <w:jc w:val="both"/>
        <w:rPr>
          <w:b/>
          <w:bCs/>
        </w:rPr>
      </w:pPr>
      <w:r>
        <w:rPr>
          <w:b/>
          <w:bCs/>
        </w:rPr>
      </w:r>
    </w:p>
    <w:p>
      <w:pPr>
        <w:pStyle w:val="Normal"/>
        <w:numPr>
          <w:ilvl w:val="0"/>
          <w:numId w:val="3"/>
        </w:numPr>
        <w:jc w:val="both"/>
        <w:rPr>
          <w:b/>
          <w:bCs/>
        </w:rPr>
      </w:pPr>
      <w:r>
        <w:rPr/>
        <w:t>Ravi Tennekoon called the meeting to order.</w:t>
      </w:r>
    </w:p>
    <w:p>
      <w:pPr>
        <w:pStyle w:val="Normal"/>
        <w:numPr>
          <w:ilvl w:val="0"/>
          <w:numId w:val="3"/>
        </w:numPr>
        <w:jc w:val="both"/>
        <w:rPr>
          <w:b/>
          <w:bCs/>
        </w:rPr>
      </w:pPr>
      <w:r>
        <w:rPr/>
        <w:t>Fernando Ruiz de Almeida Prado gave a quick update of the meeting held at Pinheiro Neto Advogados in Brazil with a group of professionals representing foreign financial institutions and clearing entities to discuss legislative efforts, proposal of a standardize local master agreement and development of credit derivatives. Mr. Ruiz de Almeida Prado noted that the objective of the meeting was to organize the various task forces into a common forum and to discuss a strategy going forward.</w:t>
      </w:r>
    </w:p>
    <w:p>
      <w:pPr>
        <w:pStyle w:val="Normal"/>
        <w:numPr>
          <w:ilvl w:val="0"/>
          <w:numId w:val="3"/>
        </w:numPr>
        <w:jc w:val="both"/>
        <w:rPr>
          <w:b/>
          <w:bCs/>
        </w:rPr>
      </w:pPr>
      <w:r>
        <w:rPr/>
        <w:t xml:space="preserve">Marcio Bonfiglioli pointed out that the proposed amendment to the Medida Provisoria that deals with the so-called Brazilian Payment System (functioning of the clearing and payment systems in Brazil) contains important changes and contemplates the treatment for early termination clauses for both exchange traded and OTC derivatives markets. Mr. Bonfiglioli also noted that the proposed draft, if approved and enacted by the Brazilian Central Bank, would practically solve the cherry-picking problem. Per Mr. Teenekoon’s questions, Mr. Bonfiglioli explained that the likelihood of the Medida Provisoria being approved by the Central Bank of Brazil is uncertain at this point and that the proposal should provide a greater degree of comfort to foreign financial institutions. In addition, Mr. Bonfiglioli noted that it is important to monitor the Brazilian Bankruptcy bill that is currently being analyzed by the Brazilian Congress and try to find an alternative to push this effort as well.  </w:t>
      </w:r>
    </w:p>
    <w:p>
      <w:pPr>
        <w:pStyle w:val="Normal"/>
        <w:numPr>
          <w:ilvl w:val="0"/>
          <w:numId w:val="3"/>
        </w:numPr>
        <w:jc w:val="both"/>
        <w:rPr>
          <w:b/>
          <w:bCs/>
        </w:rPr>
      </w:pPr>
      <w:r>
        <w:rPr/>
        <w:t>Luciana Bittar explained that it is important to approach the Brazilian Central Bank for guidance and exchanged ideas. Ms. Bittar also explained that an alternative approach have been suggested by some members of Clearing Houses of the Sao Paulo Stock Exchange because they considered that the proposed amendment to the Medida Provisoria is unlikely to be accepted by the Brazilian Central Bank. According to Ms. Bittar, this approach is targeted to affect the bylaws of the Brazilian Clearing Houses to address bankruptcy issues of such Houses. With this regard, it would be necessary to evaluate whether or not this approach would be able to address netting and early termination or cherry picking issues for bilateral over-the-counter derivatives transactions.</w:t>
      </w:r>
    </w:p>
    <w:p>
      <w:pPr>
        <w:pStyle w:val="Header"/>
        <w:numPr>
          <w:ilvl w:val="0"/>
          <w:numId w:val="3"/>
        </w:numPr>
        <w:tabs>
          <w:tab w:val="clear" w:pos="4320"/>
          <w:tab w:val="clear" w:pos="8640"/>
          <w:tab w:val="left" w:pos="11482" w:leader="none"/>
        </w:tabs>
        <w:jc w:val="both"/>
        <w:rPr>
          <w:sz w:val="24"/>
        </w:rPr>
      </w:pPr>
      <w:r>
        <w:rPr>
          <w:sz w:val="24"/>
        </w:rPr>
        <w:t xml:space="preserve">The next step will be that after the meeting with Mr. Clarence Joseph Hillerman from the Central Bank of Brazil, Mr. Bonfiglioli will come back to the subcommittee with a more defined outlook of the proposed amendment to the existent Medida Provisoria. Depending on the outcome of the meeting, ISDA will prepare a delegation and an agenda to further discuss and address the issue with the following Brazilian institutions: 1) </w:t>
      </w:r>
      <w:r>
        <w:rPr>
          <w:bCs/>
          <w:sz w:val="24"/>
        </w:rPr>
        <w:t xml:space="preserve">the Central Bank of Brazil (BACEN); 2) Brazilian Chamber of Risk Management (CAR); 3) Brazilian Bankers Association (FEBRABAN); 4) The Commodities and Futures Exchange (BM&amp;F) 5) Brazilian Development Bank (BNDES); 6) Centralized Custody and Financial Settlement of Securities (CETIP); 7) The Brazilian Clearing and Depository Corporation (CBLC); 8) International Bank Association (ABBI); 9) Securities and Exchange Commission (CVM); 10) Foreign and local financial institutions; and 11) Regulators and others. </w:t>
      </w:r>
      <w:r>
        <w:rPr>
          <w:sz w:val="24"/>
        </w:rPr>
        <w:t>These institutions are located mainly in three cities: Sao Paulo, Brasilia and Rio de Janeiro. The idea is to schedule the trip for the middle of April of this year.</w:t>
      </w:r>
    </w:p>
    <w:p>
      <w:pPr>
        <w:pStyle w:val="Normal"/>
        <w:numPr>
          <w:ilvl w:val="0"/>
          <w:numId w:val="3"/>
        </w:numPr>
        <w:jc w:val="both"/>
        <w:rPr/>
      </w:pPr>
      <w:r>
        <w:rPr/>
        <w:t xml:space="preserve">It was agreed that our next Brazilian subcommittee meeting would be held on Monday, March 12, 2001 at 9:30 am New York time. </w:t>
      </w:r>
    </w:p>
    <w:p>
      <w:pPr>
        <w:pStyle w:val="Normal"/>
        <w:ind w:start="720" w:end="0"/>
        <w:jc w:val="both"/>
        <w:rPr>
          <w:b/>
          <w:bCs/>
        </w:rPr>
      </w:pPr>
      <w:r>
        <w:rPr>
          <w:b/>
          <w:bCs/>
        </w:rPr>
      </w:r>
    </w:p>
    <w:p>
      <w:pPr>
        <w:pStyle w:val="Normal"/>
        <w:jc w:val="both"/>
        <w:rPr>
          <w:b/>
          <w:bCs/>
        </w:rPr>
      </w:pPr>
      <w:r>
        <w:rPr>
          <w:b/>
          <w:bCs/>
        </w:rPr>
        <w:t>Attendees:</w:t>
      </w:r>
    </w:p>
    <w:p>
      <w:pPr>
        <w:pStyle w:val="Normal"/>
        <w:jc w:val="both"/>
        <w:rPr>
          <w:b/>
          <w:bCs/>
        </w:rPr>
      </w:pPr>
      <w:r>
        <w:rPr>
          <w:b/>
          <w:bCs/>
        </w:rPr>
      </w:r>
    </w:p>
    <w:tbl>
      <w:tblPr>
        <w:tblW w:w="6440" w:type="dxa"/>
        <w:jc w:val="start"/>
        <w:tblInd w:w="0" w:type="dxa"/>
        <w:tblLayout w:type="fixed"/>
        <w:tblCellMar>
          <w:top w:w="15" w:type="dxa"/>
          <w:start w:w="15" w:type="dxa"/>
          <w:bottom w:w="0" w:type="dxa"/>
          <w:end w:w="15" w:type="dxa"/>
        </w:tblCellMar>
      </w:tblPr>
      <w:tblGrid>
        <w:gridCol w:w="3220"/>
        <w:gridCol w:w="3220"/>
      </w:tblGrid>
      <w:tr>
        <w:trPr>
          <w:trHeight w:val="255" w:hRule="atLeast"/>
        </w:trPr>
        <w:tc>
          <w:tcPr>
            <w:tcW w:w="3220" w:type="dxa"/>
            <w:tcBorders/>
            <w:vAlign w:val="bottom"/>
          </w:tcPr>
          <w:p>
            <w:pPr>
              <w:pStyle w:val="Normal"/>
              <w:rPr>
                <w:rFonts w:ascii="Arial" w:hAnsi="Arial" w:cs="Arial"/>
                <w:sz w:val="20"/>
                <w:szCs w:val="20"/>
              </w:rPr>
            </w:pPr>
            <w:r>
              <w:rPr>
                <w:rFonts w:cs="Arial" w:ascii="Arial" w:hAnsi="Arial"/>
                <w:sz w:val="20"/>
                <w:szCs w:val="20"/>
              </w:rPr>
              <w:t>ABN Amro</w:t>
            </w:r>
          </w:p>
        </w:tc>
        <w:tc>
          <w:tcPr>
            <w:tcW w:w="3220" w:type="dxa"/>
            <w:tcBorders/>
            <w:vAlign w:val="bottom"/>
          </w:tcPr>
          <w:p>
            <w:pPr>
              <w:pStyle w:val="Normal"/>
              <w:rPr>
                <w:rFonts w:ascii="Arial" w:hAnsi="Arial" w:cs="Arial"/>
                <w:sz w:val="20"/>
                <w:szCs w:val="20"/>
              </w:rPr>
            </w:pPr>
            <w:r>
              <w:rPr>
                <w:rFonts w:cs="Arial" w:ascii="Arial" w:hAnsi="Arial"/>
                <w:sz w:val="20"/>
                <w:szCs w:val="20"/>
              </w:rPr>
              <w:t>Ravi Tennekoon (Chair)</w:t>
            </w:r>
          </w:p>
        </w:tc>
      </w:tr>
      <w:tr>
        <w:trPr>
          <w:trHeight w:val="255" w:hRule="atLeast"/>
        </w:trPr>
        <w:tc>
          <w:tcPr>
            <w:tcW w:w="3220" w:type="dxa"/>
            <w:tcBorders/>
            <w:vAlign w:val="bottom"/>
          </w:tcPr>
          <w:p>
            <w:pPr>
              <w:pStyle w:val="Normal"/>
              <w:rPr>
                <w:rFonts w:ascii="Arial" w:hAnsi="Arial" w:cs="Arial"/>
                <w:sz w:val="20"/>
                <w:szCs w:val="20"/>
              </w:rPr>
            </w:pPr>
            <w:r>
              <w:rPr>
                <w:rFonts w:cs="Arial" w:ascii="Arial" w:hAnsi="Arial"/>
                <w:sz w:val="20"/>
                <w:szCs w:val="20"/>
              </w:rPr>
              <w:t>Banca Commerciale Italiana</w:t>
            </w:r>
          </w:p>
        </w:tc>
        <w:tc>
          <w:tcPr>
            <w:tcW w:w="3220" w:type="dxa"/>
            <w:tcBorders/>
            <w:vAlign w:val="bottom"/>
          </w:tcPr>
          <w:p>
            <w:pPr>
              <w:pStyle w:val="Normal"/>
              <w:rPr>
                <w:rFonts w:ascii="Arial" w:hAnsi="Arial" w:cs="Arial"/>
                <w:sz w:val="20"/>
                <w:szCs w:val="20"/>
              </w:rPr>
            </w:pPr>
            <w:r>
              <w:rPr>
                <w:rFonts w:cs="Arial" w:ascii="Arial" w:hAnsi="Arial"/>
                <w:sz w:val="20"/>
                <w:szCs w:val="20"/>
              </w:rPr>
              <w:t>Fabio Matti</w:t>
            </w:r>
          </w:p>
        </w:tc>
      </w:tr>
      <w:tr>
        <w:trPr>
          <w:trHeight w:val="255" w:hRule="atLeast"/>
        </w:trPr>
        <w:tc>
          <w:tcPr>
            <w:tcW w:w="3220" w:type="dxa"/>
            <w:tcBorders/>
            <w:vAlign w:val="bottom"/>
          </w:tcPr>
          <w:p>
            <w:pPr>
              <w:pStyle w:val="Normal"/>
              <w:rPr>
                <w:rFonts w:ascii="Arial" w:hAnsi="Arial" w:cs="Arial"/>
                <w:sz w:val="20"/>
                <w:szCs w:val="20"/>
              </w:rPr>
            </w:pPr>
            <w:r>
              <w:rPr>
                <w:rFonts w:cs="Arial" w:ascii="Arial" w:hAnsi="Arial"/>
                <w:sz w:val="20"/>
                <w:szCs w:val="20"/>
              </w:rPr>
              <w:t>Banco Santander Central Hispano</w:t>
            </w:r>
          </w:p>
        </w:tc>
        <w:tc>
          <w:tcPr>
            <w:tcW w:w="3220" w:type="dxa"/>
            <w:tcBorders/>
            <w:vAlign w:val="bottom"/>
          </w:tcPr>
          <w:p>
            <w:pPr>
              <w:pStyle w:val="Normal"/>
              <w:rPr>
                <w:rFonts w:ascii="Arial" w:hAnsi="Arial" w:cs="Arial"/>
                <w:sz w:val="20"/>
                <w:szCs w:val="20"/>
              </w:rPr>
            </w:pPr>
            <w:r>
              <w:rPr>
                <w:rFonts w:cs="Arial" w:ascii="Arial" w:hAnsi="Arial"/>
                <w:sz w:val="20"/>
                <w:szCs w:val="20"/>
              </w:rPr>
              <w:t>Jose Luis Frias</w:t>
            </w:r>
          </w:p>
        </w:tc>
      </w:tr>
      <w:tr>
        <w:trPr>
          <w:trHeight w:val="255" w:hRule="atLeast"/>
        </w:trPr>
        <w:tc>
          <w:tcPr>
            <w:tcW w:w="3220" w:type="dxa"/>
            <w:tcBorders/>
            <w:vAlign w:val="bottom"/>
          </w:tcPr>
          <w:p>
            <w:pPr>
              <w:pStyle w:val="Normal"/>
              <w:rPr>
                <w:rFonts w:ascii="Arial" w:hAnsi="Arial" w:cs="Arial"/>
                <w:sz w:val="20"/>
                <w:szCs w:val="20"/>
              </w:rPr>
            </w:pPr>
            <w:r>
              <w:rPr>
                <w:rFonts w:cs="Arial" w:ascii="Arial" w:hAnsi="Arial"/>
                <w:sz w:val="20"/>
                <w:szCs w:val="20"/>
              </w:rPr>
              <w:t>JP Morgan Chase</w:t>
            </w:r>
          </w:p>
        </w:tc>
        <w:tc>
          <w:tcPr>
            <w:tcW w:w="3220" w:type="dxa"/>
            <w:tcBorders/>
            <w:vAlign w:val="bottom"/>
          </w:tcPr>
          <w:p>
            <w:pPr>
              <w:pStyle w:val="Normal"/>
              <w:rPr>
                <w:rFonts w:ascii="Arial" w:hAnsi="Arial" w:cs="Arial"/>
                <w:sz w:val="20"/>
                <w:szCs w:val="20"/>
              </w:rPr>
            </w:pPr>
            <w:r>
              <w:rPr>
                <w:rFonts w:cs="Arial" w:ascii="Arial" w:hAnsi="Arial"/>
                <w:sz w:val="20"/>
                <w:szCs w:val="20"/>
              </w:rPr>
              <w:t>Marcio Bonfiglioli</w:t>
            </w:r>
          </w:p>
        </w:tc>
      </w:tr>
      <w:tr>
        <w:trPr>
          <w:trHeight w:val="255" w:hRule="atLeast"/>
        </w:trPr>
        <w:tc>
          <w:tcPr>
            <w:tcW w:w="3220" w:type="dxa"/>
            <w:tcBorders/>
            <w:vAlign w:val="bottom"/>
          </w:tcPr>
          <w:p>
            <w:pPr>
              <w:pStyle w:val="Normal"/>
              <w:rPr>
                <w:rFonts w:ascii="Arial" w:hAnsi="Arial" w:cs="Arial"/>
                <w:sz w:val="20"/>
                <w:szCs w:val="20"/>
              </w:rPr>
            </w:pPr>
            <w:r>
              <w:rPr>
                <w:rFonts w:cs="Arial" w:ascii="Arial" w:hAnsi="Arial"/>
                <w:sz w:val="20"/>
                <w:szCs w:val="20"/>
              </w:rPr>
              <w:t>Merrill Lynch</w:t>
            </w:r>
          </w:p>
        </w:tc>
        <w:tc>
          <w:tcPr>
            <w:tcW w:w="3220" w:type="dxa"/>
            <w:tcBorders/>
            <w:vAlign w:val="bottom"/>
          </w:tcPr>
          <w:p>
            <w:pPr>
              <w:pStyle w:val="Normal"/>
              <w:rPr>
                <w:rFonts w:ascii="Arial" w:hAnsi="Arial" w:cs="Arial"/>
                <w:sz w:val="20"/>
                <w:szCs w:val="20"/>
              </w:rPr>
            </w:pPr>
            <w:r>
              <w:rPr>
                <w:rFonts w:cs="Arial" w:ascii="Arial" w:hAnsi="Arial"/>
                <w:sz w:val="20"/>
                <w:szCs w:val="20"/>
              </w:rPr>
              <w:t>Luciana F. Bittar</w:t>
            </w:r>
          </w:p>
        </w:tc>
      </w:tr>
      <w:tr>
        <w:trPr>
          <w:trHeight w:val="255" w:hRule="atLeast"/>
        </w:trPr>
        <w:tc>
          <w:tcPr>
            <w:tcW w:w="3220" w:type="dxa"/>
            <w:tcBorders/>
            <w:vAlign w:val="bottom"/>
          </w:tcPr>
          <w:p>
            <w:pPr>
              <w:pStyle w:val="Normal"/>
              <w:rPr>
                <w:rFonts w:ascii="Arial" w:hAnsi="Arial" w:cs="Arial"/>
                <w:sz w:val="20"/>
                <w:szCs w:val="20"/>
              </w:rPr>
            </w:pPr>
            <w:r>
              <w:rPr>
                <w:rFonts w:cs="Arial" w:ascii="Arial" w:hAnsi="Arial"/>
                <w:sz w:val="20"/>
                <w:szCs w:val="20"/>
              </w:rPr>
              <w:t>Merrill Lynch</w:t>
            </w:r>
          </w:p>
        </w:tc>
        <w:tc>
          <w:tcPr>
            <w:tcW w:w="3220" w:type="dxa"/>
            <w:tcBorders/>
            <w:vAlign w:val="bottom"/>
          </w:tcPr>
          <w:p>
            <w:pPr>
              <w:pStyle w:val="Normal"/>
              <w:rPr>
                <w:rFonts w:ascii="Arial" w:hAnsi="Arial" w:cs="Arial"/>
                <w:sz w:val="20"/>
                <w:szCs w:val="20"/>
              </w:rPr>
            </w:pPr>
            <w:r>
              <w:rPr>
                <w:rFonts w:cs="Arial" w:ascii="Arial" w:hAnsi="Arial"/>
                <w:sz w:val="20"/>
                <w:szCs w:val="20"/>
              </w:rPr>
              <w:t>Mailu Mizumoto</w:t>
            </w:r>
          </w:p>
        </w:tc>
      </w:tr>
      <w:tr>
        <w:trPr>
          <w:trHeight w:val="255" w:hRule="atLeast"/>
        </w:trPr>
        <w:tc>
          <w:tcPr>
            <w:tcW w:w="3220" w:type="dxa"/>
            <w:tcBorders/>
            <w:vAlign w:val="bottom"/>
          </w:tcPr>
          <w:p>
            <w:pPr>
              <w:pStyle w:val="Normal"/>
              <w:rPr>
                <w:rFonts w:ascii="Arial" w:hAnsi="Arial" w:cs="Arial"/>
                <w:sz w:val="20"/>
                <w:szCs w:val="20"/>
              </w:rPr>
            </w:pPr>
            <w:r>
              <w:rPr>
                <w:rFonts w:cs="Arial" w:ascii="Arial" w:hAnsi="Arial"/>
                <w:sz w:val="20"/>
                <w:szCs w:val="20"/>
              </w:rPr>
              <w:t>Pinheiro Neto - Advogados</w:t>
            </w:r>
          </w:p>
        </w:tc>
        <w:tc>
          <w:tcPr>
            <w:tcW w:w="3220" w:type="dxa"/>
            <w:tcBorders/>
            <w:vAlign w:val="bottom"/>
          </w:tcPr>
          <w:p>
            <w:pPr>
              <w:pStyle w:val="Normal"/>
              <w:rPr>
                <w:rFonts w:ascii="Arial" w:hAnsi="Arial" w:cs="Arial"/>
                <w:sz w:val="20"/>
                <w:szCs w:val="20"/>
              </w:rPr>
            </w:pPr>
            <w:r>
              <w:rPr>
                <w:rFonts w:cs="Arial" w:ascii="Arial" w:hAnsi="Arial"/>
                <w:sz w:val="20"/>
                <w:szCs w:val="20"/>
              </w:rPr>
              <w:t>Fernando Ruiz de Almeida Prado</w:t>
            </w:r>
          </w:p>
        </w:tc>
      </w:tr>
      <w:tr>
        <w:trPr>
          <w:trHeight w:val="255" w:hRule="atLeast"/>
        </w:trPr>
        <w:tc>
          <w:tcPr>
            <w:tcW w:w="3220" w:type="dxa"/>
            <w:tcBorders/>
            <w:vAlign w:val="bottom"/>
          </w:tcPr>
          <w:p>
            <w:pPr>
              <w:pStyle w:val="Normal"/>
              <w:rPr>
                <w:rFonts w:ascii="Arial" w:hAnsi="Arial" w:cs="Arial"/>
                <w:sz w:val="20"/>
                <w:szCs w:val="20"/>
              </w:rPr>
            </w:pPr>
            <w:r>
              <w:rPr>
                <w:rFonts w:cs="Arial" w:ascii="Arial" w:hAnsi="Arial"/>
                <w:sz w:val="20"/>
                <w:szCs w:val="20"/>
              </w:rPr>
              <w:t>Pinheiro Neto- Advogados</w:t>
            </w:r>
          </w:p>
        </w:tc>
        <w:tc>
          <w:tcPr>
            <w:tcW w:w="3220" w:type="dxa"/>
            <w:tcBorders/>
            <w:vAlign w:val="bottom"/>
          </w:tcPr>
          <w:p>
            <w:pPr>
              <w:pStyle w:val="Normal"/>
              <w:rPr>
                <w:rFonts w:ascii="Arial" w:hAnsi="Arial" w:cs="Arial"/>
                <w:sz w:val="20"/>
                <w:szCs w:val="20"/>
              </w:rPr>
            </w:pPr>
            <w:r>
              <w:rPr>
                <w:rFonts w:cs="Arial" w:ascii="Arial" w:hAnsi="Arial"/>
                <w:sz w:val="20"/>
                <w:szCs w:val="20"/>
              </w:rPr>
              <w:t>Adriano Spino</w:t>
            </w:r>
          </w:p>
        </w:tc>
      </w:tr>
      <w:tr>
        <w:trPr>
          <w:trHeight w:val="255" w:hRule="atLeast"/>
        </w:trPr>
        <w:tc>
          <w:tcPr>
            <w:tcW w:w="3220" w:type="dxa"/>
            <w:tcBorders/>
            <w:vAlign w:val="bottom"/>
          </w:tcPr>
          <w:p>
            <w:pPr>
              <w:pStyle w:val="Normal"/>
              <w:rPr>
                <w:rFonts w:ascii="Arial" w:hAnsi="Arial" w:cs="Arial"/>
                <w:sz w:val="20"/>
                <w:szCs w:val="20"/>
              </w:rPr>
            </w:pPr>
            <w:r>
              <w:rPr>
                <w:rFonts w:cs="Arial" w:ascii="Arial" w:hAnsi="Arial"/>
                <w:sz w:val="20"/>
                <w:szCs w:val="20"/>
              </w:rPr>
              <w:t>ISDA</w:t>
            </w:r>
          </w:p>
        </w:tc>
        <w:tc>
          <w:tcPr>
            <w:tcW w:w="3220" w:type="dxa"/>
            <w:tcBorders/>
            <w:vAlign w:val="bottom"/>
          </w:tcPr>
          <w:p>
            <w:pPr>
              <w:pStyle w:val="Normal"/>
              <w:rPr>
                <w:rFonts w:ascii="Arial" w:hAnsi="Arial" w:cs="Arial"/>
                <w:sz w:val="20"/>
                <w:szCs w:val="20"/>
              </w:rPr>
            </w:pPr>
            <w:r>
              <w:rPr>
                <w:rFonts w:cs="Arial" w:ascii="Arial" w:hAnsi="Arial"/>
                <w:sz w:val="20"/>
                <w:szCs w:val="20"/>
              </w:rPr>
              <w:t>Ruth Ainslie</w:t>
            </w:r>
          </w:p>
        </w:tc>
      </w:tr>
      <w:tr>
        <w:trPr>
          <w:trHeight w:val="255" w:hRule="atLeast"/>
        </w:trPr>
        <w:tc>
          <w:tcPr>
            <w:tcW w:w="3220" w:type="dxa"/>
            <w:tcBorders/>
            <w:vAlign w:val="bottom"/>
          </w:tcPr>
          <w:p>
            <w:pPr>
              <w:pStyle w:val="Normal"/>
              <w:rPr>
                <w:rFonts w:ascii="Arial" w:hAnsi="Arial" w:cs="Arial"/>
                <w:sz w:val="20"/>
                <w:szCs w:val="20"/>
              </w:rPr>
            </w:pPr>
            <w:r>
              <w:rPr>
                <w:rFonts w:cs="Arial" w:ascii="Arial" w:hAnsi="Arial"/>
                <w:sz w:val="20"/>
                <w:szCs w:val="20"/>
              </w:rPr>
              <w:t>ISDA</w:t>
            </w:r>
          </w:p>
        </w:tc>
        <w:tc>
          <w:tcPr>
            <w:tcW w:w="3220" w:type="dxa"/>
            <w:tcBorders/>
            <w:vAlign w:val="bottom"/>
          </w:tcPr>
          <w:p>
            <w:pPr>
              <w:pStyle w:val="Normal"/>
              <w:rPr>
                <w:rFonts w:ascii="Arial" w:hAnsi="Arial" w:cs="Arial"/>
                <w:sz w:val="20"/>
                <w:szCs w:val="20"/>
              </w:rPr>
            </w:pPr>
            <w:r>
              <w:rPr>
                <w:rFonts w:cs="Arial" w:ascii="Arial" w:hAnsi="Arial"/>
                <w:sz w:val="20"/>
                <w:szCs w:val="20"/>
              </w:rPr>
              <w:t>Pedro Martinez Delgado</w:t>
            </w:r>
          </w:p>
        </w:tc>
      </w:tr>
    </w:tbl>
    <w:p>
      <w:pPr>
        <w:pStyle w:val="Normal"/>
        <w:jc w:val="both"/>
        <w:rPr/>
      </w:pPr>
      <w:r>
        <w:rPr/>
      </w:r>
    </w:p>
    <w:p>
      <w:pPr>
        <w:pStyle w:val="Normal"/>
        <w:jc w:val="both"/>
        <w:rPr/>
      </w:pPr>
      <w:r>
        <w:rPr/>
      </w:r>
    </w:p>
    <w:p>
      <w:pPr>
        <w:pStyle w:val="Normal"/>
        <w:jc w:val="both"/>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Courier New">
    <w:charset w:val="00" w:characterSet="windows-1252"/>
    <w:family w:val="modern"/>
    <w:pitch w:val="default"/>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1080"/>
        </w:tabs>
        <w:ind w:start="1080" w:hanging="360"/>
      </w:pPr>
      <w:rPr>
        <w:rFonts w:ascii="Symbol" w:hAnsi="Symbol" w:cs="Symbol" w:hint="default"/>
      </w:rPr>
    </w:lvl>
  </w:abstractNum>
  <w:abstractNum w:abstractNumId="3">
    <w:lvl w:ilvl="0">
      <w:start w:val="1"/>
      <w:numFmt w:val="bullet"/>
      <w:lvlText w:val=""/>
      <w:lvlJc w:val="start"/>
      <w:pPr>
        <w:tabs>
          <w:tab w:val="num" w:pos="1080"/>
        </w:tabs>
        <w:ind w:start="1080" w:hanging="360"/>
      </w:pPr>
      <w:rPr>
        <w:rFonts w:ascii="Symbol" w:hAnsi="Symbol" w:cs="Symbol" w:hint="default"/>
      </w:rPr>
    </w:lvl>
  </w:abstractNum>
  <w:abstractNum w:abstractNumId="4">
    <w:lvl w:ilvl="0">
      <w:start w:val="1"/>
      <w:numFmt w:val="bullet"/>
      <w:lvlText w:val=""/>
      <w:lvlJc w:val="start"/>
      <w:pPr>
        <w:tabs>
          <w:tab w:val="num" w:pos="1080"/>
        </w:tabs>
        <w:ind w:start="1080" w:hanging="360"/>
      </w:pPr>
      <w:rPr>
        <w:rFonts w:ascii="Symbol" w:hAnsi="Symbol" w:cs="Symbol" w:hint="default"/>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b/>
      <w:bCs/>
    </w:rPr>
  </w:style>
  <w:style w:type="character" w:styleId="WW8Num1z0">
    <w:name w:val="WW8Num1z0"/>
    <w:qFormat/>
    <w:rPr>
      <w:rFonts w:ascii="Symbol" w:hAnsi="Symbol" w:cs="Symbol"/>
    </w:rPr>
  </w:style>
  <w:style w:type="character" w:styleId="WW8Num1z2">
    <w:name w:val="WW8Num1z2"/>
    <w:qFormat/>
    <w:rPr>
      <w:rFonts w:ascii="Wingdings" w:hAnsi="Wingdings" w:cs="Wingdings"/>
    </w:rPr>
  </w:style>
  <w:style w:type="character" w:styleId="WW8Num1z4">
    <w:name w:val="WW8Num1z4"/>
    <w:qFormat/>
    <w:rPr>
      <w:rFonts w:ascii="Courier New" w:hAnsi="Courier New" w:cs="Courier New"/>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4z3">
    <w:name w:val="WW8Num4z3"/>
    <w:qFormat/>
    <w:rPr>
      <w:rFonts w:ascii="Symbol" w:hAnsi="Symbol" w:cs="Symbol"/>
    </w:rPr>
  </w:style>
  <w:style w:type="character" w:styleId="WW8Num6z2">
    <w:name w:val="WW8Num6z2"/>
    <w:qFormat/>
    <w:rPr>
      <w:rFonts w:ascii="Wingdings" w:hAnsi="Wingdings" w:cs="Wingdings"/>
    </w:rPr>
  </w:style>
  <w:style w:type="character" w:styleId="WW8Num6z3">
    <w:name w:val="WW8Num6z3"/>
    <w:qFormat/>
    <w:rPr>
      <w:rFonts w:ascii="Symbol" w:hAnsi="Symbol" w:cs="Symbol"/>
    </w:rPr>
  </w:style>
  <w:style w:type="character" w:styleId="WW8Num6z4">
    <w:name w:val="WW8Num6z4"/>
    <w:qFormat/>
    <w:rPr>
      <w:rFonts w:ascii="Courier New" w:hAnsi="Courier New" w:cs="Courier New"/>
    </w:rPr>
  </w:style>
  <w:style w:type="character" w:styleId="WW8Num7z0">
    <w:name w:val="WW8Num7z0"/>
    <w:qFormat/>
    <w:rPr>
      <w:rFonts w:ascii="Symbol" w:hAnsi="Symbol" w:cs="Symbol"/>
    </w:rPr>
  </w:style>
  <w:style w:type="character" w:styleId="WW8Num7z2">
    <w:name w:val="WW8Num7z2"/>
    <w:qFormat/>
    <w:rPr>
      <w:rFonts w:ascii="Wingdings" w:hAnsi="Wingdings" w:cs="Wingdings"/>
    </w:rPr>
  </w:style>
  <w:style w:type="character" w:styleId="WW8Num7z4">
    <w:name w:val="WW8Num7z4"/>
    <w:qFormat/>
    <w:rPr>
      <w:rFonts w:ascii="Courier New" w:hAnsi="Courier New" w:cs="Courier New"/>
    </w:rPr>
  </w:style>
  <w:style w:type="character" w:styleId="WW8Num8z0">
    <w:name w:val="WW8Num8z0"/>
    <w:qFormat/>
    <w:rPr>
      <w:rFonts w:ascii="Symbol" w:hAnsi="Symbol" w:cs="Symbol"/>
    </w:rPr>
  </w:style>
  <w:style w:type="character" w:styleId="WW8Num8z2">
    <w:name w:val="WW8Num8z2"/>
    <w:qFormat/>
    <w:rPr>
      <w:rFonts w:ascii="Wingdings" w:hAnsi="Wingdings" w:cs="Wingdings"/>
    </w:rPr>
  </w:style>
  <w:style w:type="character" w:styleId="WW8Num8z4">
    <w:name w:val="WW8Num8z4"/>
    <w:qFormat/>
    <w:rPr>
      <w:rFonts w:ascii="Courier New" w:hAnsi="Courier New" w:cs="Courier New"/>
    </w:rPr>
  </w:style>
  <w:style w:type="character" w:styleId="WW8Num10z0">
    <w:name w:val="WW8Num10z0"/>
    <w:qFormat/>
    <w:rPr>
      <w:rFonts w:ascii="Symbol" w:hAnsi="Symbol" w:cs="Symbol"/>
    </w:rPr>
  </w:style>
  <w:style w:type="character" w:styleId="WW8Num10z1">
    <w:name w:val="WW8Num10z1"/>
    <w:qFormat/>
    <w:rPr>
      <w:rFonts w:ascii="Courier New" w:hAnsi="Courier New" w:cs="Courier New"/>
    </w:rPr>
  </w:style>
  <w:style w:type="character" w:styleId="WW8Num10z2">
    <w:name w:val="WW8Num10z2"/>
    <w:qFormat/>
    <w:rPr>
      <w:rFonts w:ascii="Wingdings" w:hAnsi="Wingdings" w:cs="Wingdings"/>
    </w:rPr>
  </w:style>
  <w:style w:type="character" w:styleId="WW8Num12z0">
    <w:name w:val="WW8Num12z0"/>
    <w:qFormat/>
    <w:rPr>
      <w:rFonts w:ascii="Symbol" w:hAnsi="Symbol" w:cs="Symbol"/>
    </w:rPr>
  </w:style>
  <w:style w:type="character" w:styleId="WW8Num12z1">
    <w:name w:val="WW8Num12z1"/>
    <w:qFormat/>
    <w:rPr>
      <w:rFonts w:ascii="Courier New" w:hAnsi="Courier New" w:cs="Courier New"/>
    </w:rPr>
  </w:style>
  <w:style w:type="character" w:styleId="WW8Num12z2">
    <w:name w:val="WW8Num12z2"/>
    <w:qFormat/>
    <w:rPr>
      <w:rFonts w:ascii="Wingdings" w:hAnsi="Wingdings" w:cs="Wingdings"/>
    </w:rPr>
  </w:style>
  <w:style w:type="character" w:styleId="WW8Num13z0">
    <w:name w:val="WW8Num13z0"/>
    <w:qFormat/>
    <w:rPr>
      <w:rFonts w:ascii="Symbol" w:hAnsi="Symbol" w:cs="Symbol"/>
    </w:rPr>
  </w:style>
  <w:style w:type="character" w:styleId="WW8Num13z1">
    <w:name w:val="WW8Num13z1"/>
    <w:qFormat/>
    <w:rPr>
      <w:rFonts w:ascii="Courier New" w:hAnsi="Courier New" w:cs="Courier New"/>
    </w:rPr>
  </w:style>
  <w:style w:type="character" w:styleId="WW8Num13z2">
    <w:name w:val="WW8Num13z2"/>
    <w:qFormat/>
    <w:rPr>
      <w:rFonts w:ascii="Wingdings" w:hAnsi="Wingdings" w:cs="Wingdings"/>
    </w:rPr>
  </w:style>
  <w:style w:type="character" w:styleId="WW8Num14z0">
    <w:name w:val="WW8Num14z0"/>
    <w:qFormat/>
    <w:rPr>
      <w:rFonts w:ascii="Symbol" w:hAnsi="Symbol" w:cs="Symbol"/>
    </w:rPr>
  </w:style>
  <w:style w:type="character" w:styleId="WW8Num14z1">
    <w:name w:val="WW8Num14z1"/>
    <w:qFormat/>
    <w:rPr>
      <w:rFonts w:ascii="Courier New" w:hAnsi="Courier New" w:cs="Courier New"/>
    </w:rPr>
  </w:style>
  <w:style w:type="character" w:styleId="WW8Num14z2">
    <w:name w:val="WW8Num14z2"/>
    <w:qFormat/>
    <w:rPr>
      <w:rFonts w:ascii="Wingdings" w:hAnsi="Wingdings" w:cs="Wingdings"/>
    </w:rPr>
  </w:style>
  <w:style w:type="character" w:styleId="WW8Num15z0">
    <w:name w:val="WW8Num15z0"/>
    <w:qFormat/>
    <w:rPr>
      <w:rFonts w:ascii="Symbol" w:hAnsi="Symbol" w:cs="Symbol"/>
    </w:rPr>
  </w:style>
  <w:style w:type="character" w:styleId="WW8Num15z2">
    <w:name w:val="WW8Num15z2"/>
    <w:qFormat/>
    <w:rPr>
      <w:rFonts w:ascii="Wingdings" w:hAnsi="Wingdings" w:cs="Wingdings"/>
    </w:rPr>
  </w:style>
  <w:style w:type="character" w:styleId="WW8Num15z4">
    <w:name w:val="WW8Num15z4"/>
    <w:qFormat/>
    <w:rPr>
      <w:rFonts w:ascii="Courier New" w:hAnsi="Courier New" w:cs="Courier New"/>
    </w:rPr>
  </w:style>
  <w:style w:type="character" w:styleId="WW8Num16z0">
    <w:name w:val="WW8Num16z0"/>
    <w:qFormat/>
    <w:rPr>
      <w:rFonts w:ascii="Symbol" w:hAnsi="Symbol" w:cs="Symbol"/>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z w:val="20"/>
      <w:szCs w:val="20"/>
      <w:lang w:val="en-GB"/>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141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2001-02-20T18:11:00Z</dcterms:created>
  <dc:creator>Valued Sony Customer</dc:creator>
  <dc:description/>
  <dc:language>en-CA</dc:language>
  <cp:lastModifiedBy>Valued Sony Customer</cp:lastModifiedBy>
  <cp:lastPrinted>2000-12-05T09:44:00Z</cp:lastPrinted>
  <dcterms:modified xsi:type="dcterms:W3CDTF">2001-02-23T14:13:00Z</dcterms:modified>
  <cp:revision>24</cp:revision>
  <dc:subject/>
  <dc:title>Agenda:</dc:title>
</cp:coreProperties>
</file>