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pPr>
      <w:r>
        <w:rPr/>
        <w:t>Brazilian Subcommittee Meeting Minutes</w:t>
      </w:r>
    </w:p>
    <w:p>
      <w:pPr>
        <w:pStyle w:val="Normal"/>
        <w:jc w:val="both"/>
        <w:rPr/>
      </w:pPr>
      <w:r>
        <w:rPr/>
      </w:r>
    </w:p>
    <w:p>
      <w:pPr>
        <w:pStyle w:val="Normal"/>
        <w:jc w:val="both"/>
        <w:rPr/>
      </w:pPr>
      <w:r>
        <w:rPr/>
        <w:t>Thursday, October 4, 2001</w:t>
      </w:r>
    </w:p>
    <w:p>
      <w:pPr>
        <w:pStyle w:val="Normal"/>
        <w:jc w:val="both"/>
        <w:rPr/>
      </w:pPr>
      <w:r>
        <w:rPr/>
        <w:t>ISDA, 600 Fifth Ave. New York, NY 10020</w:t>
      </w:r>
    </w:p>
    <w:p>
      <w:pPr>
        <w:pStyle w:val="Normal"/>
        <w:ind w:start="720" w:end="0"/>
        <w:jc w:val="both"/>
        <w:rPr/>
      </w:pPr>
      <w:r>
        <w:rPr/>
      </w:r>
    </w:p>
    <w:p>
      <w:pPr>
        <w:pStyle w:val="Normal"/>
        <w:ind w:start="720" w:end="0"/>
        <w:jc w:val="both"/>
        <w:rPr/>
      </w:pPr>
      <w:r>
        <w:rPr/>
      </w:r>
    </w:p>
    <w:p>
      <w:pPr>
        <w:pStyle w:val="Normal"/>
        <w:ind w:start="720" w:end="0"/>
        <w:jc w:val="both"/>
        <w:rPr>
          <w:b/>
          <w:bCs/>
        </w:rPr>
      </w:pPr>
      <w:r>
        <w:rPr>
          <w:b/>
          <w:bCs/>
        </w:rPr>
        <w:t>Regulatory and Legislative Developments - Article 30:</w:t>
      </w:r>
    </w:p>
    <w:p>
      <w:pPr>
        <w:pStyle w:val="Normal"/>
        <w:ind w:start="720" w:end="0"/>
        <w:jc w:val="both"/>
        <w:rPr>
          <w:b/>
          <w:bCs/>
        </w:rPr>
      </w:pPr>
      <w:r>
        <w:rPr>
          <w:b/>
          <w:bCs/>
        </w:rPr>
      </w:r>
    </w:p>
    <w:p>
      <w:pPr>
        <w:pStyle w:val="Normal"/>
        <w:numPr>
          <w:ilvl w:val="0"/>
          <w:numId w:val="3"/>
        </w:numPr>
        <w:autoSpaceDE w:val="false"/>
        <w:jc w:val="both"/>
        <w:rPr>
          <w:b/>
          <w:bCs/>
        </w:rPr>
      </w:pPr>
      <w:r>
        <w:rPr/>
        <w:t>The impact of a recent constitutional amendment of outstanding Medidas Provisorias and the effect of the amendment on Article 30</w:t>
      </w:r>
      <w:r>
        <w:rPr>
          <w:b/>
          <w:color w:val="FF0000"/>
        </w:rPr>
        <w:t xml:space="preserve">, </w:t>
      </w:r>
      <w:r>
        <w:rPr>
          <w:bCs/>
          <w:color w:val="000000"/>
        </w:rPr>
        <w:t>which</w:t>
      </w:r>
      <w:r>
        <w:rPr>
          <w:bCs/>
          <w:color w:val="FF0000"/>
        </w:rPr>
        <w:t xml:space="preserve"> </w:t>
      </w:r>
      <w:r>
        <w:rPr/>
        <w:t xml:space="preserve">covers the enforceability of netting of derivatives and other transactions carried on within the Brazilian National Financial System, was the major discussion item.  According to Luciana Bittar, </w:t>
      </w:r>
      <w:r>
        <w:rPr>
          <w:szCs w:val="20"/>
        </w:rPr>
        <w:t xml:space="preserve">the constitutional amendment approved by the Brazilian Congress in September has limited the power of the Executive to issue new Medidas Provisorias. In addition, the constitutional amendment provides that the outstanding Medidas Provisorias issued prior to September 10, 2001 shall remain in full force and effect until voted by the Congress or overwritten by a new Medida Provisoria. According to Ms. Bittar and Adriano Spina, </w:t>
      </w:r>
      <w:r>
        <w:rPr/>
        <w:t>Medida Provisoria</w:t>
      </w:r>
      <w:r>
        <w:rPr>
          <w:szCs w:val="20"/>
        </w:rPr>
        <w:t xml:space="preserve"> 2,192-70 issued on August 28, 2001 is broad enough to include bilateral OTC derivatives transactions carried out within the National Financial System. </w:t>
      </w:r>
      <w:r>
        <w:rPr/>
        <w:t>According to Ms. Bittar</w:t>
      </w:r>
      <w:r>
        <w:rPr>
          <w:szCs w:val="20"/>
        </w:rPr>
        <w:t>, the National Monetary Council through the Brazilian Central Bank is in the process of providing additional guidance in the form of regulation to determine the scope and substance of the Medida Provisoria affected by the constitutional amendment, specifically with respect to the breadth of transactions. Finally, the subcommittee discussed whether or not the cherry picking issue was eliminated as a result of the constitutional amendment. The subcommittee will further to clarify these issues and ISDA will participate in discussions with the Central Bank when appropriate and will also monitor ongoing projects to amend the Brazilian Bankruptcy Law and Civil Code.</w:t>
      </w:r>
    </w:p>
    <w:p>
      <w:pPr>
        <w:pStyle w:val="Normal"/>
        <w:autoSpaceDE w:val="false"/>
        <w:ind w:start="360" w:end="0"/>
        <w:jc w:val="both"/>
        <w:rPr>
          <w:b/>
          <w:bCs/>
        </w:rPr>
      </w:pPr>
      <w:r>
        <w:rPr>
          <w:b/>
          <w:bCs/>
        </w:rPr>
      </w:r>
    </w:p>
    <w:p>
      <w:pPr>
        <w:pStyle w:val="Normal"/>
        <w:ind w:start="720" w:end="0"/>
        <w:jc w:val="both"/>
        <w:rPr>
          <w:b/>
          <w:bCs/>
        </w:rPr>
      </w:pPr>
      <w:r>
        <w:rPr>
          <w:b/>
          <w:bCs/>
        </w:rPr>
        <w:t>Registration Requirements:</w:t>
      </w:r>
    </w:p>
    <w:p>
      <w:pPr>
        <w:pStyle w:val="Normal"/>
        <w:ind w:start="720" w:end="0"/>
        <w:jc w:val="both"/>
        <w:rPr>
          <w:b/>
          <w:bCs/>
        </w:rPr>
      </w:pPr>
      <w:r>
        <w:rPr>
          <w:b/>
          <w:bCs/>
        </w:rPr>
      </w:r>
    </w:p>
    <w:p>
      <w:pPr>
        <w:pStyle w:val="Normal"/>
        <w:numPr>
          <w:ilvl w:val="0"/>
          <w:numId w:val="2"/>
        </w:numPr>
        <w:jc w:val="both"/>
        <w:rPr/>
      </w:pPr>
      <w:r>
        <w:rPr/>
        <w:t xml:space="preserve">As stringent registration requirements in Brazil are viewed as an impediment to the flow of cross-border OTC derivatives transactions, members of the Brazilian subcommittee suggested ISDA discuss with local authorities the mitigation of such requirements. Registration requirements are imposed by the Central Bank and enforced by the BM&amp;F and CETIP. </w:t>
      </w:r>
    </w:p>
    <w:p>
      <w:pPr>
        <w:pStyle w:val="Normal"/>
        <w:jc w:val="both"/>
        <w:rPr>
          <w:b/>
          <w:bCs/>
        </w:rPr>
      </w:pPr>
      <w:r>
        <w:rPr>
          <w:b/>
          <w:bCs/>
        </w:rPr>
      </w:r>
    </w:p>
    <w:p>
      <w:pPr>
        <w:pStyle w:val="Normal"/>
        <w:ind w:start="720" w:end="0"/>
        <w:jc w:val="both"/>
        <w:rPr>
          <w:b/>
          <w:bCs/>
        </w:rPr>
      </w:pPr>
      <w:r>
        <w:rPr>
          <w:b/>
          <w:bCs/>
        </w:rPr>
        <w:t>Documentation:</w:t>
      </w:r>
    </w:p>
    <w:p>
      <w:pPr>
        <w:pStyle w:val="Normal"/>
        <w:ind w:start="720" w:end="0"/>
        <w:jc w:val="both"/>
        <w:rPr>
          <w:b/>
          <w:bCs/>
        </w:rPr>
      </w:pPr>
      <w:r>
        <w:rPr>
          <w:b/>
          <w:bCs/>
        </w:rPr>
      </w:r>
    </w:p>
    <w:p>
      <w:pPr>
        <w:pStyle w:val="Normal"/>
        <w:numPr>
          <w:ilvl w:val="0"/>
          <w:numId w:val="2"/>
        </w:numPr>
        <w:jc w:val="both"/>
        <w:rPr/>
      </w:pPr>
      <w:r>
        <w:rPr/>
        <w:t>The progress of development of a local market master agreement, supported by CAAR and to be drafted by Pinheiro Neto Advogados was discussed.</w:t>
      </w:r>
    </w:p>
    <w:p>
      <w:pPr>
        <w:pStyle w:val="Normal"/>
        <w:ind w:start="360" w:end="0"/>
        <w:jc w:val="both"/>
        <w:rPr/>
      </w:pPr>
      <w:r>
        <w:rPr/>
      </w:r>
    </w:p>
    <w:p>
      <w:pPr>
        <w:pStyle w:val="Normal"/>
        <w:ind w:start="720" w:end="0"/>
        <w:jc w:val="both"/>
        <w:rPr>
          <w:b/>
          <w:bCs/>
        </w:rPr>
      </w:pPr>
      <w:r>
        <w:rPr>
          <w:b/>
          <w:bCs/>
        </w:rPr>
        <w:t xml:space="preserve">Tax: </w:t>
      </w:r>
    </w:p>
    <w:p>
      <w:pPr>
        <w:pStyle w:val="Normal"/>
        <w:ind w:start="720" w:end="0"/>
        <w:jc w:val="both"/>
        <w:rPr>
          <w:b/>
          <w:bCs/>
        </w:rPr>
      </w:pPr>
      <w:r>
        <w:rPr>
          <w:b/>
          <w:bCs/>
        </w:rPr>
      </w:r>
    </w:p>
    <w:p>
      <w:pPr>
        <w:pStyle w:val="BodyTextIndent"/>
        <w:numPr>
          <w:ilvl w:val="0"/>
          <w:numId w:val="2"/>
        </w:numPr>
        <w:rPr/>
      </w:pPr>
      <w:r>
        <w:rPr/>
        <w:t>The subcommittee agreed that tax issues were not as pressing as the regulatory and documentation issues and accordingly ISDA will not be closely monitoring the Brazilian tax regime for OTC derivatives transactions at this time.</w:t>
      </w:r>
    </w:p>
    <w:p>
      <w:pPr>
        <w:pStyle w:val="Normal"/>
        <w:ind w:start="720" w:end="0"/>
        <w:jc w:val="both"/>
        <w:rPr>
          <w:b/>
          <w:bCs/>
        </w:rPr>
      </w:pPr>
      <w:r>
        <w:rPr>
          <w:b/>
          <w:bCs/>
        </w:rPr>
      </w:r>
    </w:p>
    <w:p>
      <w:pPr>
        <w:pStyle w:val="Normal"/>
        <w:ind w:start="720" w:end="0"/>
        <w:jc w:val="both"/>
        <w:rPr>
          <w:b/>
          <w:bCs/>
        </w:rPr>
      </w:pPr>
      <w:r>
        <w:rPr>
          <w:b/>
          <w:bCs/>
        </w:rPr>
        <w:t>Collateral:</w:t>
      </w:r>
    </w:p>
    <w:p>
      <w:pPr>
        <w:pStyle w:val="Normal"/>
        <w:ind w:start="720" w:end="0"/>
        <w:jc w:val="both"/>
        <w:rPr>
          <w:b/>
          <w:bCs/>
        </w:rPr>
      </w:pPr>
      <w:r>
        <w:rPr>
          <w:b/>
          <w:bCs/>
        </w:rPr>
      </w:r>
    </w:p>
    <w:p>
      <w:pPr>
        <w:pStyle w:val="Normal"/>
        <w:numPr>
          <w:ilvl w:val="0"/>
          <w:numId w:val="2"/>
        </w:numPr>
        <w:jc w:val="both"/>
        <w:rPr/>
      </w:pPr>
      <w:r>
        <w:rPr/>
        <w:t>According to ISDA members there are a number of impediments to the use of collateral as credit support in Brazil. The subcommittee mentioned expensive, difficult to monitor/tracking is complicated and difficult to apply against other obligations. The subcommittee has requested ISDA to begin to monitor and include in the agenda this issue for future discussions with relevant authorities.</w:t>
      </w:r>
    </w:p>
    <w:p>
      <w:pPr>
        <w:pStyle w:val="Normal"/>
        <w:jc w:val="both"/>
        <w:rPr>
          <w:b/>
          <w:bCs/>
        </w:rPr>
      </w:pPr>
      <w:r>
        <w:rPr>
          <w:b/>
          <w:bCs/>
        </w:rPr>
      </w:r>
    </w:p>
    <w:p>
      <w:pPr>
        <w:pStyle w:val="Normal"/>
        <w:ind w:start="720" w:end="0"/>
        <w:jc w:val="both"/>
        <w:rPr>
          <w:b/>
          <w:bCs/>
        </w:rPr>
      </w:pPr>
      <w:r>
        <w:rPr>
          <w:b/>
          <w:bCs/>
        </w:rPr>
        <w:t>Conference:</w:t>
      </w:r>
    </w:p>
    <w:p>
      <w:pPr>
        <w:pStyle w:val="Normal"/>
        <w:ind w:start="360" w:end="0"/>
        <w:jc w:val="both"/>
        <w:rPr>
          <w:b/>
          <w:bCs/>
        </w:rPr>
      </w:pPr>
      <w:r>
        <w:rPr>
          <w:b/>
          <w:bCs/>
        </w:rPr>
      </w:r>
    </w:p>
    <w:p>
      <w:pPr>
        <w:pStyle w:val="Normal"/>
        <w:numPr>
          <w:ilvl w:val="0"/>
          <w:numId w:val="2"/>
        </w:numPr>
        <w:jc w:val="both"/>
        <w:rPr/>
      </w:pPr>
      <w:r>
        <w:rPr/>
        <w:t>ISDA is planning to organize a conference in Brazil in 2002. A trip to Brazil is contemplated, probably before year-end, to cover regulatory and other business issues discussed in the Brazilian subcommittee and to begin the preparation of the conference.</w:t>
      </w:r>
    </w:p>
    <w:p>
      <w:pPr>
        <w:pStyle w:val="Normal"/>
        <w:jc w:val="both"/>
        <w:rPr/>
      </w:pPr>
      <w:r>
        <w:rPr/>
      </w:r>
    </w:p>
    <w:p>
      <w:pPr>
        <w:pStyle w:val="Normal"/>
        <w:jc w:val="both"/>
        <w:rPr>
          <w:b/>
          <w:bCs/>
        </w:rPr>
      </w:pPr>
      <w:r>
        <w:rPr>
          <w:b/>
          <w:bCs/>
        </w:rPr>
      </w:r>
    </w:p>
    <w:p>
      <w:pPr>
        <w:pStyle w:val="Normal"/>
        <w:jc w:val="both"/>
        <w:rPr>
          <w:b/>
          <w:bCs/>
        </w:rPr>
      </w:pPr>
      <w:r>
        <w:rPr>
          <w:b/>
          <w:bCs/>
        </w:rPr>
        <w:t>Attendees:</w:t>
      </w:r>
    </w:p>
    <w:p>
      <w:pPr>
        <w:pStyle w:val="Normal"/>
        <w:jc w:val="both"/>
        <w:rPr>
          <w:b/>
          <w:bCs/>
        </w:rPr>
      </w:pPr>
      <w:r>
        <w:rPr>
          <w:b/>
          <w:bCs/>
        </w:rPr>
      </w:r>
    </w:p>
    <w:tbl>
      <w:tblPr>
        <w:tblW w:w="5920" w:type="dxa"/>
        <w:jc w:val="start"/>
        <w:tblInd w:w="0" w:type="dxa"/>
        <w:tblLayout w:type="fixed"/>
        <w:tblCellMar>
          <w:top w:w="15" w:type="dxa"/>
          <w:start w:w="15" w:type="dxa"/>
          <w:bottom w:w="0" w:type="dxa"/>
          <w:end w:w="15" w:type="dxa"/>
        </w:tblCellMar>
      </w:tblPr>
      <w:tblGrid>
        <w:gridCol w:w="3600"/>
        <w:gridCol w:w="2320"/>
      </w:tblGrid>
      <w:tr>
        <w:trPr>
          <w:trHeight w:val="255" w:hRule="atLeast"/>
        </w:trPr>
        <w:tc>
          <w:tcPr>
            <w:tcW w:w="3600" w:type="dxa"/>
            <w:tcBorders/>
            <w:vAlign w:val="bottom"/>
          </w:tcPr>
          <w:p>
            <w:pPr>
              <w:pStyle w:val="Normal"/>
              <w:jc w:val="both"/>
              <w:rPr>
                <w:szCs w:val="20"/>
              </w:rPr>
            </w:pPr>
            <w:r>
              <w:rPr>
                <w:szCs w:val="20"/>
              </w:rPr>
              <w:t>Goldman Sachs &amp; Co.</w:t>
            </w:r>
          </w:p>
        </w:tc>
        <w:tc>
          <w:tcPr>
            <w:tcW w:w="2320" w:type="dxa"/>
            <w:tcBorders/>
            <w:vAlign w:val="bottom"/>
          </w:tcPr>
          <w:p>
            <w:pPr>
              <w:pStyle w:val="Normal"/>
              <w:jc w:val="both"/>
              <w:rPr>
                <w:szCs w:val="20"/>
              </w:rPr>
            </w:pPr>
            <w:r>
              <w:rPr>
                <w:szCs w:val="20"/>
              </w:rPr>
              <w:t>Ricardo Salaman</w:t>
            </w:r>
          </w:p>
        </w:tc>
      </w:tr>
      <w:tr>
        <w:trPr>
          <w:trHeight w:val="255" w:hRule="atLeast"/>
        </w:trPr>
        <w:tc>
          <w:tcPr>
            <w:tcW w:w="3600" w:type="dxa"/>
            <w:tcBorders/>
            <w:vAlign w:val="bottom"/>
          </w:tcPr>
          <w:p>
            <w:pPr>
              <w:pStyle w:val="Normal"/>
              <w:jc w:val="both"/>
              <w:rPr>
                <w:szCs w:val="20"/>
              </w:rPr>
            </w:pPr>
            <w:r>
              <w:rPr>
                <w:szCs w:val="20"/>
              </w:rPr>
              <w:t>Goldman Sachs &amp; Co</w:t>
            </w:r>
          </w:p>
        </w:tc>
        <w:tc>
          <w:tcPr>
            <w:tcW w:w="2320" w:type="dxa"/>
            <w:tcBorders/>
            <w:vAlign w:val="bottom"/>
          </w:tcPr>
          <w:p>
            <w:pPr>
              <w:pStyle w:val="Normal"/>
              <w:jc w:val="both"/>
              <w:rPr>
                <w:szCs w:val="20"/>
              </w:rPr>
            </w:pPr>
            <w:r>
              <w:rPr>
                <w:szCs w:val="20"/>
              </w:rPr>
              <w:t>Yuri Okumura</w:t>
            </w:r>
          </w:p>
        </w:tc>
      </w:tr>
      <w:tr>
        <w:trPr>
          <w:trHeight w:val="255" w:hRule="atLeast"/>
        </w:trPr>
        <w:tc>
          <w:tcPr>
            <w:tcW w:w="3600" w:type="dxa"/>
            <w:tcBorders/>
            <w:vAlign w:val="bottom"/>
          </w:tcPr>
          <w:p>
            <w:pPr>
              <w:pStyle w:val="Normal"/>
              <w:jc w:val="both"/>
              <w:rPr>
                <w:szCs w:val="20"/>
              </w:rPr>
            </w:pPr>
            <w:r>
              <w:rPr>
                <w:szCs w:val="20"/>
              </w:rPr>
              <w:t>Itau</w:t>
            </w:r>
          </w:p>
        </w:tc>
        <w:tc>
          <w:tcPr>
            <w:tcW w:w="2320" w:type="dxa"/>
            <w:tcBorders/>
            <w:vAlign w:val="bottom"/>
          </w:tcPr>
          <w:p>
            <w:pPr>
              <w:pStyle w:val="Normal"/>
              <w:jc w:val="both"/>
              <w:rPr>
                <w:szCs w:val="20"/>
              </w:rPr>
            </w:pPr>
            <w:r>
              <w:rPr>
                <w:szCs w:val="20"/>
              </w:rPr>
              <w:t>Lavinia Moraes</w:t>
            </w:r>
          </w:p>
        </w:tc>
      </w:tr>
      <w:tr>
        <w:trPr>
          <w:trHeight w:val="255" w:hRule="atLeast"/>
        </w:trPr>
        <w:tc>
          <w:tcPr>
            <w:tcW w:w="3600" w:type="dxa"/>
            <w:tcBorders/>
            <w:vAlign w:val="bottom"/>
          </w:tcPr>
          <w:p>
            <w:pPr>
              <w:pStyle w:val="Normal"/>
              <w:jc w:val="both"/>
              <w:rPr>
                <w:szCs w:val="20"/>
              </w:rPr>
            </w:pPr>
            <w:r>
              <w:rPr>
                <w:szCs w:val="20"/>
              </w:rPr>
              <w:t>Itau</w:t>
            </w:r>
          </w:p>
        </w:tc>
        <w:tc>
          <w:tcPr>
            <w:tcW w:w="2320" w:type="dxa"/>
            <w:tcBorders/>
            <w:vAlign w:val="bottom"/>
          </w:tcPr>
          <w:p>
            <w:pPr>
              <w:pStyle w:val="Normal"/>
              <w:jc w:val="both"/>
              <w:rPr>
                <w:szCs w:val="20"/>
              </w:rPr>
            </w:pPr>
            <w:r>
              <w:rPr>
                <w:szCs w:val="20"/>
              </w:rPr>
              <w:t>Anibal Fernandez</w:t>
            </w:r>
          </w:p>
        </w:tc>
      </w:tr>
      <w:tr>
        <w:trPr>
          <w:trHeight w:val="255" w:hRule="atLeast"/>
        </w:trPr>
        <w:tc>
          <w:tcPr>
            <w:tcW w:w="3600" w:type="dxa"/>
            <w:tcBorders/>
            <w:vAlign w:val="bottom"/>
          </w:tcPr>
          <w:p>
            <w:pPr>
              <w:pStyle w:val="Normal"/>
              <w:jc w:val="both"/>
              <w:rPr>
                <w:szCs w:val="20"/>
              </w:rPr>
            </w:pPr>
            <w:r>
              <w:rPr>
                <w:szCs w:val="20"/>
              </w:rPr>
              <w:t>JP Morgan Chase</w:t>
            </w:r>
          </w:p>
        </w:tc>
        <w:tc>
          <w:tcPr>
            <w:tcW w:w="2320" w:type="dxa"/>
            <w:tcBorders/>
            <w:vAlign w:val="bottom"/>
          </w:tcPr>
          <w:p>
            <w:pPr>
              <w:pStyle w:val="Normal"/>
              <w:jc w:val="both"/>
              <w:rPr>
                <w:szCs w:val="20"/>
              </w:rPr>
            </w:pPr>
            <w:r>
              <w:rPr>
                <w:szCs w:val="20"/>
              </w:rPr>
              <w:t>Diane Genova</w:t>
            </w:r>
          </w:p>
        </w:tc>
      </w:tr>
      <w:tr>
        <w:trPr>
          <w:trHeight w:val="255" w:hRule="atLeast"/>
        </w:trPr>
        <w:tc>
          <w:tcPr>
            <w:tcW w:w="3600" w:type="dxa"/>
            <w:tcBorders/>
            <w:vAlign w:val="bottom"/>
          </w:tcPr>
          <w:p>
            <w:pPr>
              <w:pStyle w:val="Normal"/>
              <w:jc w:val="both"/>
              <w:rPr>
                <w:szCs w:val="20"/>
              </w:rPr>
            </w:pPr>
            <w:r>
              <w:rPr>
                <w:szCs w:val="20"/>
              </w:rPr>
              <w:t>JP Morgan Chase</w:t>
            </w:r>
          </w:p>
        </w:tc>
        <w:tc>
          <w:tcPr>
            <w:tcW w:w="2320" w:type="dxa"/>
            <w:tcBorders/>
            <w:vAlign w:val="bottom"/>
          </w:tcPr>
          <w:p>
            <w:pPr>
              <w:pStyle w:val="Normal"/>
              <w:jc w:val="both"/>
              <w:rPr>
                <w:szCs w:val="20"/>
              </w:rPr>
            </w:pPr>
            <w:r>
              <w:rPr>
                <w:szCs w:val="20"/>
              </w:rPr>
              <w:t>Emilio Jimenez</w:t>
            </w:r>
          </w:p>
        </w:tc>
      </w:tr>
      <w:tr>
        <w:trPr>
          <w:trHeight w:val="255" w:hRule="atLeast"/>
        </w:trPr>
        <w:tc>
          <w:tcPr>
            <w:tcW w:w="3600" w:type="dxa"/>
            <w:tcBorders/>
            <w:vAlign w:val="bottom"/>
          </w:tcPr>
          <w:p>
            <w:pPr>
              <w:pStyle w:val="Normal"/>
              <w:jc w:val="both"/>
              <w:rPr>
                <w:szCs w:val="20"/>
              </w:rPr>
            </w:pPr>
            <w:r>
              <w:rPr>
                <w:szCs w:val="20"/>
              </w:rPr>
              <w:t>Merrill Lynch</w:t>
            </w:r>
          </w:p>
        </w:tc>
        <w:tc>
          <w:tcPr>
            <w:tcW w:w="2320" w:type="dxa"/>
            <w:tcBorders/>
            <w:vAlign w:val="bottom"/>
          </w:tcPr>
          <w:p>
            <w:pPr>
              <w:pStyle w:val="Normal"/>
              <w:jc w:val="both"/>
              <w:rPr>
                <w:szCs w:val="20"/>
              </w:rPr>
            </w:pPr>
            <w:r>
              <w:rPr>
                <w:szCs w:val="20"/>
              </w:rPr>
              <w:t>Luciana Bittar</w:t>
            </w:r>
          </w:p>
        </w:tc>
      </w:tr>
      <w:tr>
        <w:trPr>
          <w:trHeight w:val="255" w:hRule="atLeast"/>
        </w:trPr>
        <w:tc>
          <w:tcPr>
            <w:tcW w:w="3600" w:type="dxa"/>
            <w:tcBorders/>
            <w:vAlign w:val="bottom"/>
          </w:tcPr>
          <w:p>
            <w:pPr>
              <w:pStyle w:val="Normal"/>
              <w:jc w:val="both"/>
              <w:rPr>
                <w:szCs w:val="20"/>
              </w:rPr>
            </w:pPr>
            <w:r>
              <w:rPr>
                <w:szCs w:val="20"/>
              </w:rPr>
              <w:t>Morgan Stanley</w:t>
            </w:r>
          </w:p>
        </w:tc>
        <w:tc>
          <w:tcPr>
            <w:tcW w:w="2320" w:type="dxa"/>
            <w:tcBorders/>
            <w:vAlign w:val="bottom"/>
          </w:tcPr>
          <w:p>
            <w:pPr>
              <w:pStyle w:val="Normal"/>
              <w:jc w:val="both"/>
              <w:rPr>
                <w:szCs w:val="20"/>
              </w:rPr>
            </w:pPr>
            <w:r>
              <w:rPr>
                <w:szCs w:val="20"/>
              </w:rPr>
              <w:t>Duane Hughes</w:t>
            </w:r>
          </w:p>
        </w:tc>
      </w:tr>
      <w:tr>
        <w:trPr>
          <w:trHeight w:val="255" w:hRule="atLeast"/>
        </w:trPr>
        <w:tc>
          <w:tcPr>
            <w:tcW w:w="3600" w:type="dxa"/>
            <w:tcBorders/>
            <w:vAlign w:val="bottom"/>
          </w:tcPr>
          <w:p>
            <w:pPr>
              <w:pStyle w:val="Normal"/>
              <w:jc w:val="both"/>
              <w:rPr>
                <w:szCs w:val="20"/>
              </w:rPr>
            </w:pPr>
            <w:r>
              <w:rPr>
                <w:szCs w:val="20"/>
              </w:rPr>
              <w:t>Pinheiro Neto – Advogados</w:t>
            </w:r>
          </w:p>
        </w:tc>
        <w:tc>
          <w:tcPr>
            <w:tcW w:w="2320" w:type="dxa"/>
            <w:tcBorders/>
            <w:vAlign w:val="bottom"/>
          </w:tcPr>
          <w:p>
            <w:pPr>
              <w:pStyle w:val="Normal"/>
              <w:jc w:val="both"/>
              <w:rPr>
                <w:szCs w:val="20"/>
              </w:rPr>
            </w:pPr>
            <w:r>
              <w:rPr>
                <w:szCs w:val="20"/>
              </w:rPr>
              <w:t>Adriano Spina</w:t>
            </w:r>
          </w:p>
        </w:tc>
      </w:tr>
      <w:tr>
        <w:trPr>
          <w:trHeight w:val="255" w:hRule="atLeast"/>
        </w:trPr>
        <w:tc>
          <w:tcPr>
            <w:tcW w:w="3600" w:type="dxa"/>
            <w:tcBorders/>
            <w:vAlign w:val="bottom"/>
          </w:tcPr>
          <w:p>
            <w:pPr>
              <w:pStyle w:val="Normal"/>
              <w:jc w:val="both"/>
              <w:rPr>
                <w:szCs w:val="20"/>
              </w:rPr>
            </w:pPr>
            <w:r>
              <w:rPr>
                <w:szCs w:val="20"/>
              </w:rPr>
              <w:t>Santander</w:t>
            </w:r>
          </w:p>
        </w:tc>
        <w:tc>
          <w:tcPr>
            <w:tcW w:w="2320" w:type="dxa"/>
            <w:tcBorders/>
            <w:vAlign w:val="bottom"/>
          </w:tcPr>
          <w:p>
            <w:pPr>
              <w:pStyle w:val="Normal"/>
              <w:jc w:val="both"/>
              <w:rPr>
                <w:szCs w:val="20"/>
              </w:rPr>
            </w:pPr>
            <w:r>
              <w:rPr>
                <w:szCs w:val="20"/>
              </w:rPr>
              <w:t>Jose Luis Frias</w:t>
            </w:r>
          </w:p>
        </w:tc>
      </w:tr>
      <w:tr>
        <w:trPr>
          <w:trHeight w:val="255" w:hRule="atLeast"/>
        </w:trPr>
        <w:tc>
          <w:tcPr>
            <w:tcW w:w="3600" w:type="dxa"/>
            <w:tcBorders/>
            <w:vAlign w:val="bottom"/>
          </w:tcPr>
          <w:p>
            <w:pPr>
              <w:pStyle w:val="Normal"/>
              <w:jc w:val="both"/>
              <w:rPr>
                <w:szCs w:val="20"/>
              </w:rPr>
            </w:pPr>
            <w:r>
              <w:rPr>
                <w:szCs w:val="20"/>
              </w:rPr>
              <w:t>ISDA</w:t>
            </w:r>
          </w:p>
        </w:tc>
        <w:tc>
          <w:tcPr>
            <w:tcW w:w="2320" w:type="dxa"/>
            <w:tcBorders/>
            <w:vAlign w:val="bottom"/>
          </w:tcPr>
          <w:p>
            <w:pPr>
              <w:pStyle w:val="Normal"/>
              <w:jc w:val="both"/>
              <w:rPr>
                <w:szCs w:val="20"/>
              </w:rPr>
            </w:pPr>
            <w:r>
              <w:rPr>
                <w:szCs w:val="20"/>
              </w:rPr>
              <w:t>Ruth Ainslie</w:t>
            </w:r>
          </w:p>
        </w:tc>
      </w:tr>
      <w:tr>
        <w:trPr>
          <w:trHeight w:val="255" w:hRule="atLeast"/>
        </w:trPr>
        <w:tc>
          <w:tcPr>
            <w:tcW w:w="3600" w:type="dxa"/>
            <w:tcBorders/>
            <w:vAlign w:val="bottom"/>
          </w:tcPr>
          <w:p>
            <w:pPr>
              <w:pStyle w:val="Normal"/>
              <w:jc w:val="both"/>
              <w:rPr>
                <w:szCs w:val="20"/>
              </w:rPr>
            </w:pPr>
            <w:r>
              <w:rPr>
                <w:szCs w:val="20"/>
              </w:rPr>
              <w:t>ISDA</w:t>
            </w:r>
          </w:p>
        </w:tc>
        <w:tc>
          <w:tcPr>
            <w:tcW w:w="2320" w:type="dxa"/>
            <w:tcBorders/>
            <w:vAlign w:val="bottom"/>
          </w:tcPr>
          <w:p>
            <w:pPr>
              <w:pStyle w:val="Normal"/>
              <w:jc w:val="both"/>
              <w:rPr>
                <w:szCs w:val="20"/>
              </w:rPr>
            </w:pPr>
            <w:r>
              <w:rPr>
                <w:szCs w:val="20"/>
              </w:rPr>
              <w:t>Pedro Martinez</w:t>
            </w:r>
          </w:p>
        </w:tc>
      </w:tr>
    </w:tbl>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2">
    <w:name w:val="WW8Num9z2"/>
    <w:qFormat/>
    <w:rPr>
      <w:rFonts w:ascii="Wingdings" w:hAnsi="Wingdings" w:cs="Wingdings"/>
    </w:rPr>
  </w:style>
  <w:style w:type="character" w:styleId="WW8Num9z4">
    <w:name w:val="WW8Num9z4"/>
    <w:qFormat/>
    <w:rPr>
      <w:rFonts w:ascii="Courier New" w:hAnsi="Courier New" w:cs="Courier New"/>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Indent">
    <w:name w:val="Body Text Indent"/>
    <w:basedOn w:val="Normal"/>
    <w:pPr>
      <w:ind w:hanging="0" w:start="720" w:end="0"/>
      <w:jc w:val="both"/>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2001-10-17T17:39:00Z</dcterms:created>
  <dc:creator>Valued Sony Customer</dc:creator>
  <dc:description/>
  <dc:language>en-CA</dc:language>
  <cp:lastModifiedBy>Valued Sony Customer</cp:lastModifiedBy>
  <cp:lastPrinted>2001-05-14T11:19:00Z</cp:lastPrinted>
  <dcterms:modified xsi:type="dcterms:W3CDTF">2001-10-17T18:05:00Z</dcterms:modified>
  <cp:revision>9</cp:revision>
  <dc:subject/>
  <dc:title>Mexican Subcommittee Meeting-3</dc:title>
</cp:coreProperties>
</file>