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4" w:type="dxa"/>
        <w:jc w:val="start"/>
        <w:tblInd w:w="0" w:type="dxa"/>
        <w:tblLayout w:type="fixed"/>
        <w:tblCellMar>
          <w:top w:w="0" w:type="dxa"/>
          <w:start w:w="108" w:type="dxa"/>
          <w:bottom w:w="0" w:type="dxa"/>
          <w:end w:w="108" w:type="dxa"/>
        </w:tblCellMar>
      </w:tblPr>
      <w:tblGrid>
        <w:gridCol w:w="9464"/>
      </w:tblGrid>
      <w:tr>
        <w:trPr/>
        <w:tc>
          <w:tcPr>
            <w:tcW w:w="9464" w:type="dxa"/>
            <w:tcBorders/>
          </w:tcPr>
          <w:p>
            <w:pPr>
              <w:pStyle w:val="DocumentLabel"/>
              <w:spacing w:before="600" w:after="0"/>
              <w:jc w:val="center"/>
              <w:rPr/>
            </w:pPr>
            <w:r>
              <w:rPr/>
              <w:t>MINUTES</w:t>
            </w:r>
          </w:p>
        </w:tc>
      </w:tr>
    </w:tbl>
    <w:p>
      <w:pPr>
        <w:pStyle w:val="Normal"/>
        <w:rPr/>
      </w:pPr>
      <w:r>
        <w:rPr/>
      </w:r>
    </w:p>
    <w:tbl>
      <w:tblPr>
        <w:tblW w:w="9355" w:type="dxa"/>
        <w:jc w:val="start"/>
        <w:tblInd w:w="0" w:type="dxa"/>
        <w:tblLayout w:type="fixed"/>
        <w:tblCellMar>
          <w:top w:w="0" w:type="dxa"/>
          <w:start w:w="0" w:type="dxa"/>
          <w:bottom w:w="0" w:type="dxa"/>
          <w:end w:w="0" w:type="dxa"/>
        </w:tblCellMar>
      </w:tblPr>
      <w:tblGrid>
        <w:gridCol w:w="2948"/>
        <w:gridCol w:w="6407"/>
      </w:tblGrid>
      <w:tr>
        <w:trPr/>
        <w:tc>
          <w:tcPr>
            <w:tcW w:w="2948" w:type="dxa"/>
            <w:tcBorders/>
          </w:tcPr>
          <w:p>
            <w:pPr>
              <w:pStyle w:val="MessageHead"/>
              <w:spacing w:before="60" w:after="60"/>
              <w:rPr>
                <w:sz w:val="24"/>
              </w:rPr>
            </w:pPr>
            <w:r>
              <w:rPr>
                <w:sz w:val="24"/>
              </w:rPr>
              <w:t>Minutes:</w:t>
            </w:r>
          </w:p>
        </w:tc>
        <w:tc>
          <w:tcPr>
            <w:tcW w:w="6407" w:type="dxa"/>
            <w:tcBorders/>
          </w:tcPr>
          <w:p>
            <w:pPr>
              <w:pStyle w:val="Normal"/>
              <w:spacing w:before="60" w:after="60"/>
              <w:rPr/>
            </w:pPr>
            <w:r>
              <w:rPr/>
              <w:t xml:space="preserve">Japan Working Group </w:t>
            </w:r>
          </w:p>
        </w:tc>
      </w:tr>
      <w:tr>
        <w:trPr/>
        <w:tc>
          <w:tcPr>
            <w:tcW w:w="2948" w:type="dxa"/>
            <w:tcBorders/>
          </w:tcPr>
          <w:p>
            <w:pPr>
              <w:pStyle w:val="MessageHead"/>
              <w:spacing w:before="60" w:after="60"/>
              <w:rPr>
                <w:sz w:val="24"/>
              </w:rPr>
            </w:pPr>
            <w:r>
              <w:rPr>
                <w:sz w:val="24"/>
              </w:rPr>
              <w:t>Held on:</w:t>
            </w:r>
          </w:p>
        </w:tc>
        <w:tc>
          <w:tcPr>
            <w:tcW w:w="6407" w:type="dxa"/>
            <w:tcBorders/>
          </w:tcPr>
          <w:p>
            <w:pPr>
              <w:pStyle w:val="Normal"/>
              <w:spacing w:before="60" w:after="60"/>
              <w:rPr/>
            </w:pPr>
            <w:r>
              <w:rPr/>
              <w:t>7/9/00</w:t>
            </w:r>
          </w:p>
        </w:tc>
      </w:tr>
      <w:tr>
        <w:trPr/>
        <w:tc>
          <w:tcPr>
            <w:tcW w:w="2948" w:type="dxa"/>
            <w:tcBorders>
              <w:bottom w:val="single" w:sz="18" w:space="0" w:color="000000"/>
            </w:tcBorders>
          </w:tcPr>
          <w:p>
            <w:pPr>
              <w:pStyle w:val="MessageHead"/>
              <w:snapToGrid w:val="false"/>
              <w:spacing w:before="60" w:after="120"/>
              <w:rPr/>
            </w:pPr>
            <w:r>
              <w:rPr/>
            </w:r>
          </w:p>
        </w:tc>
        <w:tc>
          <w:tcPr>
            <w:tcW w:w="6407" w:type="dxa"/>
            <w:tcBorders>
              <w:bottom w:val="single" w:sz="18" w:space="0" w:color="000000"/>
            </w:tcBorders>
          </w:tcPr>
          <w:p>
            <w:pPr>
              <w:pStyle w:val="Normal"/>
              <w:snapToGrid w:val="false"/>
              <w:spacing w:before="60" w:after="120"/>
              <w:rPr>
                <w:b/>
              </w:rPr>
            </w:pPr>
            <w:r>
              <w:rPr>
                <w:b/>
              </w:rPr>
            </w:r>
          </w:p>
        </w:tc>
      </w:tr>
    </w:tbl>
    <w:p>
      <w:pPr>
        <w:pStyle w:val="section"/>
        <w:spacing w:before="0" w:after="0"/>
        <w:rPr>
          <w:rFonts w:ascii="Arial" w:hAnsi="Arial" w:cs="Arial"/>
        </w:rPr>
      </w:pPr>
      <w:r>
        <w:rPr>
          <w:rFonts w:cs="Arial" w:ascii="Arial" w:hAnsi="Arial"/>
        </w:rPr>
      </w:r>
    </w:p>
    <w:p>
      <w:pPr>
        <w:pStyle w:val="section"/>
        <w:spacing w:before="0" w:after="0"/>
        <w:rPr>
          <w:rFonts w:ascii="Arial" w:hAnsi="Arial" w:cs="Arial"/>
          <w:b/>
          <w:sz w:val="24"/>
        </w:rPr>
      </w:pPr>
      <w:r>
        <w:rPr>
          <w:rFonts w:cs="Arial" w:ascii="Arial" w:hAnsi="Arial"/>
          <w:b/>
          <w:sz w:val="24"/>
        </w:rPr>
        <w:t>Attendees:</w:t>
      </w:r>
    </w:p>
    <w:p>
      <w:pPr>
        <w:pStyle w:val="Normal"/>
        <w:rPr>
          <w:color w:val="000000"/>
          <w:lang w:val="en-US"/>
        </w:rPr>
      </w:pPr>
      <w:r>
        <w:rPr>
          <w:color w:val="000000"/>
          <w:lang w:val="en-US"/>
        </w:rPr>
        <w:t xml:space="preserve">Mike Dahlke </w:t>
      </w:r>
    </w:p>
    <w:p>
      <w:pPr>
        <w:pStyle w:val="Normal"/>
        <w:rPr/>
      </w:pPr>
      <w:r>
        <w:rPr/>
        <w:t>Mike Grimes</w:t>
      </w:r>
    </w:p>
    <w:p>
      <w:pPr>
        <w:pStyle w:val="head1text"/>
        <w:rPr/>
      </w:pPr>
      <w:r>
        <w:rPr/>
        <w:t>Mika Watanabe</w:t>
      </w:r>
    </w:p>
    <w:p>
      <w:pPr>
        <w:pStyle w:val="head1text"/>
        <w:rPr/>
      </w:pPr>
      <w:r>
        <w:rPr/>
        <w:t>Mark Crowther</w:t>
      </w:r>
    </w:p>
    <w:p>
      <w:pPr>
        <w:pStyle w:val="head1text"/>
        <w:rPr/>
      </w:pPr>
      <w:r>
        <w:rPr/>
        <w:t>Nick O’Day</w:t>
      </w:r>
    </w:p>
    <w:p>
      <w:pPr>
        <w:pStyle w:val="head1text"/>
        <w:rPr/>
      </w:pPr>
      <w:r>
        <w:rPr/>
        <w:t>Rob McGrory</w:t>
      </w:r>
    </w:p>
    <w:p>
      <w:pPr>
        <w:pStyle w:val="head1text"/>
        <w:rPr/>
      </w:pPr>
      <w:r>
        <w:rPr/>
        <w:t>Rachel Bejma</w:t>
      </w:r>
    </w:p>
    <w:p>
      <w:pPr>
        <w:pStyle w:val="head1text"/>
        <w:rPr/>
      </w:pPr>
      <w:r>
        <w:rPr/>
        <w:t>David Merrill</w:t>
      </w:r>
    </w:p>
    <w:p>
      <w:pPr>
        <w:pStyle w:val="head1text"/>
        <w:rPr/>
      </w:pPr>
      <w:r>
        <w:rPr/>
        <w:t>Takashi Kimura</w:t>
      </w:r>
    </w:p>
    <w:p>
      <w:pPr>
        <w:pStyle w:val="head1text"/>
        <w:rPr/>
      </w:pPr>
      <w:r>
        <w:rPr/>
      </w:r>
    </w:p>
    <w:p>
      <w:pPr>
        <w:pStyle w:val="Heading1"/>
        <w:numPr>
          <w:ilvl w:val="0"/>
          <w:numId w:val="2"/>
        </w:numPr>
        <w:ind w:hanging="0" w:start="0"/>
        <w:rPr>
          <w:sz w:val="24"/>
        </w:rPr>
      </w:pPr>
      <w:r>
        <w:rPr>
          <w:rFonts w:eastAsia="Arial"/>
          <w:sz w:val="24"/>
        </w:rPr>
        <w:t xml:space="preserve"> </w:t>
      </w:r>
      <w:r>
        <w:rPr>
          <w:sz w:val="24"/>
        </w:rPr>
        <w:t>Introduction</w:t>
      </w:r>
    </w:p>
    <w:p>
      <w:pPr>
        <w:pStyle w:val="head1text"/>
        <w:rPr>
          <w:sz w:val="24"/>
        </w:rPr>
      </w:pPr>
      <w:r>
        <w:rPr>
          <w:sz w:val="24"/>
        </w:rPr>
      </w:r>
    </w:p>
    <w:p>
      <w:pPr>
        <w:pStyle w:val="head1text"/>
        <w:numPr>
          <w:ilvl w:val="0"/>
          <w:numId w:val="3"/>
        </w:numPr>
        <w:rPr/>
      </w:pPr>
      <w:r>
        <w:rPr/>
        <w:t>Minutes from the last meeting were approved.</w:t>
      </w:r>
    </w:p>
    <w:p>
      <w:pPr>
        <w:pStyle w:val="Heading1"/>
        <w:numPr>
          <w:ilvl w:val="0"/>
          <w:numId w:val="2"/>
        </w:numPr>
        <w:ind w:hanging="0" w:start="0"/>
        <w:rPr>
          <w:sz w:val="24"/>
        </w:rPr>
      </w:pPr>
      <w:r>
        <w:rPr>
          <w:sz w:val="24"/>
        </w:rPr>
        <w:t>Regional Updates</w:t>
      </w:r>
    </w:p>
    <w:p>
      <w:pPr>
        <w:pStyle w:val="head1text"/>
        <w:rPr>
          <w:sz w:val="24"/>
        </w:rPr>
      </w:pPr>
      <w:r>
        <w:rPr>
          <w:sz w:val="24"/>
        </w:rPr>
      </w:r>
    </w:p>
    <w:p>
      <w:pPr>
        <w:pStyle w:val="Normal"/>
        <w:rPr/>
      </w:pPr>
      <w:r>
        <w:rPr/>
        <w:t>Korea</w:t>
      </w:r>
    </w:p>
    <w:p>
      <w:pPr>
        <w:pStyle w:val="Normal"/>
        <w:rPr/>
      </w:pPr>
      <w:r>
        <w:rPr/>
      </w:r>
    </w:p>
    <w:p>
      <w:pPr>
        <w:pStyle w:val="Normal"/>
        <w:numPr>
          <w:ilvl w:val="0"/>
          <w:numId w:val="6"/>
        </w:numPr>
        <w:rPr/>
      </w:pPr>
      <w:r>
        <w:rPr/>
        <w:t>MOCIE remains intransigent on reducing Return on Equity for distribution companies.  Protest letter may be submitted on behalf of as many distribution companies as can be convinced to go along with it.</w:t>
      </w:r>
    </w:p>
    <w:p>
      <w:pPr>
        <w:pStyle w:val="Normal"/>
        <w:rPr/>
      </w:pPr>
      <w:r>
        <w:rPr/>
      </w:r>
    </w:p>
    <w:p>
      <w:pPr>
        <w:pStyle w:val="Normal"/>
        <w:rPr/>
      </w:pPr>
      <w:r>
        <w:rPr/>
        <w:t>Australia</w:t>
      </w:r>
    </w:p>
    <w:p>
      <w:pPr>
        <w:pStyle w:val="Normal"/>
        <w:rPr/>
      </w:pPr>
      <w:r>
        <w:rPr/>
      </w:r>
    </w:p>
    <w:p>
      <w:pPr>
        <w:pStyle w:val="Normal"/>
        <w:numPr>
          <w:ilvl w:val="0"/>
          <w:numId w:val="6"/>
        </w:numPr>
        <w:rPr/>
      </w:pPr>
      <w:r>
        <w:rPr/>
        <w:t>Nodal pricing is still moving forward, but slowly.</w:t>
      </w:r>
    </w:p>
    <w:p>
      <w:pPr>
        <w:pStyle w:val="Normal"/>
        <w:numPr>
          <w:ilvl w:val="0"/>
          <w:numId w:val="6"/>
        </w:numPr>
        <w:rPr/>
      </w:pPr>
      <w:r>
        <w:rPr/>
        <w:t>Emissions trading has hit a road block and may be held up until the Kyoto Accord is ratified.</w:t>
      </w:r>
    </w:p>
    <w:p>
      <w:pPr>
        <w:pStyle w:val="Normal"/>
        <w:rPr/>
      </w:pPr>
      <w:r>
        <w:rPr/>
      </w:r>
    </w:p>
    <w:p>
      <w:pPr>
        <w:pStyle w:val="Normal"/>
        <w:rPr/>
      </w:pPr>
      <w:r>
        <w:rPr/>
        <w:t>Singapore</w:t>
      </w:r>
    </w:p>
    <w:p>
      <w:pPr>
        <w:pStyle w:val="Normal"/>
        <w:rPr/>
      </w:pPr>
      <w:r>
        <w:rPr/>
      </w:r>
    </w:p>
    <w:p>
      <w:pPr>
        <w:pStyle w:val="Normal"/>
        <w:numPr>
          <w:ilvl w:val="0"/>
          <w:numId w:val="4"/>
        </w:numPr>
        <w:rPr/>
      </w:pPr>
      <w:r>
        <w:rPr/>
        <w:t xml:space="preserve">Mike Dahlke and David Merrill presented Enron’s global experience on energy deregulation, with an emphasis on how to apply Enron’s Generally Accepted Regulatory Principles to Singapore’s unique situation. </w:t>
      </w:r>
    </w:p>
    <w:p>
      <w:pPr>
        <w:pStyle w:val="Normal"/>
        <w:numPr>
          <w:ilvl w:val="0"/>
          <w:numId w:val="7"/>
        </w:numPr>
        <w:rPr/>
      </w:pPr>
      <w:r>
        <w:rPr>
          <w:b/>
          <w:bCs/>
          <w:i/>
          <w:iCs/>
        </w:rPr>
        <w:t>Mike Grimes to circulate presentation.</w:t>
      </w:r>
    </w:p>
    <w:p>
      <w:pPr>
        <w:pStyle w:val="Normal"/>
        <w:numPr>
          <w:ilvl w:val="0"/>
          <w:numId w:val="4"/>
        </w:numPr>
        <w:rPr/>
      </w:pPr>
      <w:r>
        <w:rPr/>
        <w:t xml:space="preserve">Supported EBS’s investigation of pooling point locations and bandwidth trading.  </w:t>
      </w:r>
    </w:p>
    <w:p>
      <w:pPr>
        <w:pStyle w:val="Normal"/>
        <w:numPr>
          <w:ilvl w:val="0"/>
          <w:numId w:val="4"/>
        </w:numPr>
        <w:rPr/>
      </w:pPr>
      <w:r>
        <w:rPr/>
        <w:t>Coordinating the licensing and registration procedure for EBS.</w:t>
      </w:r>
    </w:p>
    <w:p>
      <w:pPr>
        <w:pStyle w:val="Normal"/>
        <w:rPr/>
      </w:pPr>
      <w:r>
        <w:rPr/>
      </w:r>
    </w:p>
    <w:p>
      <w:pPr>
        <w:pStyle w:val="head1text"/>
        <w:rPr/>
      </w:pPr>
      <w:r>
        <w:rPr/>
        <w:t>Japan</w:t>
      </w:r>
    </w:p>
    <w:p>
      <w:pPr>
        <w:pStyle w:val="head1text"/>
        <w:rPr/>
      </w:pPr>
      <w:r>
        <w:rPr/>
      </w:r>
    </w:p>
    <w:p>
      <w:pPr>
        <w:pStyle w:val="head1text"/>
        <w:numPr>
          <w:ilvl w:val="0"/>
          <w:numId w:val="5"/>
        </w:numPr>
        <w:rPr/>
      </w:pPr>
      <w:r>
        <w:rPr/>
        <w:t>Standard purchase and sale contract is being refined following the completion of visits to all utilities.  Next step – push through a test transaction.</w:t>
      </w:r>
    </w:p>
    <w:p>
      <w:pPr>
        <w:pStyle w:val="head1text"/>
        <w:numPr>
          <w:ilvl w:val="0"/>
          <w:numId w:val="5"/>
        </w:numPr>
        <w:rPr/>
      </w:pPr>
      <w:r>
        <w:rPr/>
        <w:t xml:space="preserve">Gas comments were submitted and will probably be filed by MITI in a safe place. </w:t>
      </w:r>
    </w:p>
    <w:p>
      <w:pPr>
        <w:pStyle w:val="head1text"/>
        <w:numPr>
          <w:ilvl w:val="0"/>
          <w:numId w:val="5"/>
        </w:numPr>
        <w:rPr/>
      </w:pPr>
      <w:r>
        <w:rPr/>
        <w:t>EJ continues to develop an overall strategy that encompasses an acceptable structure for the electricity market, natural gas, the environment, and energy security.</w:t>
      </w:r>
    </w:p>
    <w:p>
      <w:pPr>
        <w:pStyle w:val="head1text"/>
        <w:numPr>
          <w:ilvl w:val="0"/>
          <w:numId w:val="5"/>
        </w:numPr>
        <w:rPr/>
      </w:pPr>
      <w:r>
        <w:rPr/>
        <w:t>The USG is pushing for Enron to offer comments on Japan’s IT initiative.</w:t>
      </w:r>
    </w:p>
    <w:p>
      <w:pPr>
        <w:pStyle w:val="head1text"/>
        <w:numPr>
          <w:ilvl w:val="0"/>
          <w:numId w:val="5"/>
        </w:numPr>
        <w:rPr/>
      </w:pPr>
      <w:r>
        <w:rPr/>
        <w:t>MITI has requested Enron’s help on developing a tender for the next of its facilities.</w:t>
      </w:r>
    </w:p>
    <w:p>
      <w:pPr>
        <w:pStyle w:val="head1text"/>
        <w:numPr>
          <w:ilvl w:val="0"/>
          <w:numId w:val="5"/>
        </w:numPr>
        <w:rPr>
          <w:sz w:val="24"/>
        </w:rPr>
      </w:pPr>
      <w:r>
        <w:rPr/>
        <w:t>EJ to offer information to USG on the next round of US/Japan deregulation talks.</w:t>
      </w:r>
    </w:p>
    <w:p>
      <w:pPr>
        <w:pStyle w:val="Heading1"/>
        <w:numPr>
          <w:ilvl w:val="0"/>
          <w:numId w:val="2"/>
        </w:numPr>
        <w:ind w:hanging="0" w:start="0"/>
        <w:rPr>
          <w:sz w:val="24"/>
        </w:rPr>
      </w:pPr>
      <w:r>
        <w:rPr>
          <w:sz w:val="24"/>
        </w:rPr>
        <w:t>Other Business</w:t>
      </w:r>
    </w:p>
    <w:p>
      <w:pPr>
        <w:pStyle w:val="head1text"/>
        <w:numPr>
          <w:ilvl w:val="0"/>
          <w:numId w:val="8"/>
        </w:numPr>
        <w:rPr/>
      </w:pPr>
      <w:r>
        <w:rPr/>
        <w:t>A monthly meeting with European Government and Regulatory Affairs was proposed.  After discussion it was agreed that EJ will develop an agenda for two meetings and coordinate the timing to gauge the level of interest.  The usefulness of a monthly meeting will be evaluated then.</w:t>
      </w:r>
    </w:p>
    <w:p>
      <w:pPr>
        <w:pStyle w:val="Heading1"/>
        <w:numPr>
          <w:ilvl w:val="0"/>
          <w:numId w:val="2"/>
        </w:numPr>
        <w:ind w:hanging="0" w:start="0"/>
        <w:rPr>
          <w:sz w:val="24"/>
        </w:rPr>
      </w:pPr>
      <w:r>
        <w:rPr>
          <w:sz w:val="24"/>
        </w:rPr>
        <w:t>Future Meetings</w:t>
      </w:r>
    </w:p>
    <w:p>
      <w:pPr>
        <w:pStyle w:val="head1text"/>
        <w:ind w:start="227" w:end="0"/>
        <w:rPr>
          <w:sz w:val="24"/>
        </w:rPr>
      </w:pPr>
      <w:r>
        <w:rPr>
          <w:sz w:val="24"/>
        </w:rPr>
      </w:r>
    </w:p>
    <w:p>
      <w:pPr>
        <w:pStyle w:val="head1text"/>
        <w:spacing w:before="0" w:after="120"/>
        <w:ind w:start="357" w:end="0"/>
        <w:rPr/>
      </w:pPr>
      <w:r>
        <w:rPr/>
        <w:t>The next meeting will be Thursday, September 21st, at 0800, Tokyo time.</w:t>
      </w:r>
      <w:r>
        <w:rPr>
          <w:lang w:val="en-US"/>
        </w:rPr>
        <w:t xml:space="preserve">  The contact numbers remain as follows:</w:t>
      </w:r>
    </w:p>
    <w:p>
      <w:pPr>
        <w:pStyle w:val="head1text"/>
        <w:spacing w:before="0" w:after="120"/>
        <w:ind w:start="357" w:end="0"/>
        <w:rPr>
          <w:lang w:val="en-US"/>
        </w:rPr>
      </w:pPr>
      <w:r>
        <w:rPr>
          <w:lang w:val="en-US"/>
        </w:rPr>
        <w:tab/>
        <w:t xml:space="preserve">US – </w:t>
        <w:tab/>
        <w:tab/>
        <w:t>800-991-9019</w:t>
      </w:r>
    </w:p>
    <w:p>
      <w:pPr>
        <w:pStyle w:val="head1text"/>
        <w:spacing w:before="0" w:after="120"/>
        <w:ind w:start="357" w:end="0"/>
        <w:rPr>
          <w:lang w:val="en-US"/>
        </w:rPr>
      </w:pPr>
      <w:r>
        <w:rPr>
          <w:lang w:val="en-US"/>
        </w:rPr>
        <w:tab/>
        <w:t>International – 847-619-8039</w:t>
      </w:r>
    </w:p>
    <w:p>
      <w:pPr>
        <w:pStyle w:val="head1text"/>
        <w:spacing w:before="0" w:after="120"/>
        <w:ind w:start="357" w:end="0"/>
        <w:rPr>
          <w:lang w:val="en-US"/>
        </w:rPr>
      </w:pPr>
      <w:r>
        <w:rPr>
          <w:lang w:val="en-US"/>
        </w:rPr>
        <w:tab/>
        <w:t>Access Code -</w:t>
        <w:tab/>
        <w:t xml:space="preserve"> 576-4488</w:t>
      </w:r>
    </w:p>
    <w:sectPr>
      <w:headerReference w:type="default" r:id="rId2"/>
      <w:headerReference w:type="first" r:id="rId3"/>
      <w:type w:val="nextPage"/>
      <w:pgSz w:w="11906" w:h="16838"/>
      <w:pgMar w:left="1418" w:right="1134" w:gutter="0" w:header="720"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Symbol">
    <w:charset w:val="0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2000" fillcolor="#b2b2b2" stroked="f" o:allowincell="f" style="position:absolute;margin-left:123.5pt;margin-top:173.35pt;width:217.45pt;height:254.75pt;mso-wrap-style:none;v-text-anchor:middle" type="_x0000_t172">
          <v:path textpathok="t"/>
          <v:textpath on="t" fitshape="t" string="Draft" style="font-family:&quot;Arial Black&quot;;font-size:80pt" trim="t"/>
          <v:fill o:detectmouseclick="t" type="solid" color2="#4d4d4d" opacity="0.5"/>
          <v:stroke color="#3465a4" joinstyle="round" endcap="flat"/>
          <w10:wrap type="none"/>
        </v:shape>
      </w:pic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r>
      <mc:AlternateContent>
        <mc:Choice Requires="wps">
          <w:drawing>
            <wp:anchor behindDoc="1" distT="0" distB="0" distL="114935" distR="114935" simplePos="0" locked="0" layoutInCell="1" allowOverlap="1" relativeHeight="3">
              <wp:simplePos x="0" y="0"/>
              <wp:positionH relativeFrom="column">
                <wp:posOffset>1202690</wp:posOffset>
              </wp:positionH>
              <wp:positionV relativeFrom="paragraph">
                <wp:posOffset>1561465</wp:posOffset>
              </wp:positionV>
              <wp:extent cx="3840480" cy="914400"/>
              <wp:effectExtent l="0" t="0" r="0" b="0"/>
              <wp:wrapNone/>
              <wp:docPr id="2" name="Frame2"/>
              <a:graphic xmlns:a="http://schemas.openxmlformats.org/drawingml/2006/main">
                <a:graphicData uri="http://schemas.microsoft.com/office/word/2010/wordprocessingShape">
                  <wps:wsp>
                    <wps:cNvSpPr txBox="1"/>
                    <wps:spPr>
                      <a:xfrm>
                        <a:off x="0" y="0"/>
                        <a:ext cx="3840480" cy="9144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72pt;mso-wrap-distance-left:9.05pt;mso-wrap-distance-right:9.05pt;mso-wrap-distance-top:0pt;mso-wrap-distance-bottom:0pt;margin-top:122.95pt;mso-position-vertical-relative:text;margin-left:94.7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
              <wp:simplePos x="0" y="0"/>
              <wp:positionH relativeFrom="column">
                <wp:posOffset>1294130</wp:posOffset>
              </wp:positionH>
              <wp:positionV relativeFrom="paragraph">
                <wp:posOffset>1285240</wp:posOffset>
              </wp:positionV>
              <wp:extent cx="3840480" cy="1371600"/>
              <wp:effectExtent l="0" t="0" r="0" b="0"/>
              <wp:wrapNone/>
              <wp:docPr id="3" name="Frame1"/>
              <a:graphic xmlns:a="http://schemas.openxmlformats.org/drawingml/2006/main">
                <a:graphicData uri="http://schemas.microsoft.com/office/word/2010/wordprocessingShape">
                  <wps:wsp>
                    <wps:cNvSpPr txBox="1"/>
                    <wps:spPr>
                      <a:xfrm>
                        <a:off x="0" y="0"/>
                        <a:ext cx="3840480" cy="13716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302.4pt;height:108pt;mso-wrap-distance-left:9.05pt;mso-wrap-distance-right:9.05pt;mso-wrap-distance-top:0pt;mso-wrap-distance-bottom:0pt;margin-top:101.2pt;mso-position-vertical-relative:text;margin-left:101.9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27"/>
        </w:tabs>
        <w:ind w:start="227" w:hanging="227"/>
      </w:pPr>
    </w:lvl>
    <w:lvl w:ilvl="1">
      <w:start w:val="1"/>
      <w:numFmt w:val="decimal"/>
      <w:lvlText w:val="%1.%2."/>
      <w:lvlJc w:val="start"/>
      <w:pPr>
        <w:tabs>
          <w:tab w:val="num" w:pos="397"/>
        </w:tabs>
        <w:ind w:start="624" w:hanging="397"/>
      </w:pPr>
    </w:lvl>
    <w:lvl w:ilvl="2">
      <w:start w:val="1"/>
      <w:numFmt w:val="decimal"/>
      <w:lvlText w:val="%1.%2.%3."/>
      <w:lvlJc w:val="start"/>
      <w:pPr>
        <w:tabs>
          <w:tab w:val="num" w:pos="567"/>
        </w:tabs>
        <w:ind w:start="1191" w:hanging="567"/>
      </w:pPr>
    </w:lvl>
    <w:lvl w:ilvl="3">
      <w:start w:val="1"/>
      <w:numFmt w:val="decimal"/>
      <w:lvlText w:val="%1.%2.%3.%4."/>
      <w:lvlJc w:val="start"/>
      <w:pPr>
        <w:tabs>
          <w:tab w:val="num" w:pos="708"/>
        </w:tabs>
        <w:ind w:start="1899" w:hanging="708"/>
      </w:pPr>
    </w:lvl>
    <w:lvl w:ilvl="4">
      <w:start w:val="1"/>
      <w:numFmt w:val="decimal"/>
      <w:lvlText w:val="%1.%2.%3.%4.%5."/>
      <w:lvlJc w:val="start"/>
      <w:pPr>
        <w:tabs>
          <w:tab w:val="num" w:pos="708"/>
        </w:tabs>
        <w:ind w:start="2607" w:hanging="708"/>
      </w:pPr>
    </w:lvl>
    <w:lvl w:ilvl="5">
      <w:start w:val="1"/>
      <w:numFmt w:val="decimal"/>
      <w:lvlText w:val="%1.%2.%3.%4.%5.%6."/>
      <w:lvlJc w:val="start"/>
      <w:pPr>
        <w:tabs>
          <w:tab w:val="num" w:pos="708"/>
        </w:tabs>
        <w:ind w:start="3315" w:hanging="708"/>
      </w:pPr>
    </w:lvl>
    <w:lvl w:ilvl="6">
      <w:start w:val="1"/>
      <w:numFmt w:val="decimal"/>
      <w:lvlText w:val="%1.%2.%3.%4.%5.%6.%7."/>
      <w:lvlJc w:val="start"/>
      <w:pPr>
        <w:tabs>
          <w:tab w:val="num" w:pos="708"/>
        </w:tabs>
        <w:ind w:start="4023" w:hanging="708"/>
      </w:pPr>
    </w:lvl>
    <w:lvl w:ilvl="7">
      <w:start w:val="1"/>
      <w:numFmt w:val="decimal"/>
      <w:lvlText w:val="%1.%2.%3.%4.%5.%6.%7.%8."/>
      <w:lvlJc w:val="start"/>
      <w:pPr>
        <w:tabs>
          <w:tab w:val="num" w:pos="708"/>
        </w:tabs>
        <w:ind w:start="4731" w:hanging="708"/>
      </w:pPr>
    </w:lvl>
    <w:lvl w:ilvl="8">
      <w:start w:val="1"/>
      <w:numFmt w:val="decimal"/>
      <w:lvlText w:val="%1.%2.%3.%4.%5.%6.%7.%8.%9."/>
      <w:lvlJc w:val="start"/>
      <w:pPr>
        <w:tabs>
          <w:tab w:val="num" w:pos="708"/>
        </w:tabs>
        <w:ind w:start="5439" w:hanging="708"/>
      </w:p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AU" w:bidi="ar-SA" w:eastAsia="zh-CN"/>
    </w:rPr>
  </w:style>
  <w:style w:type="paragraph" w:styleId="Heading1">
    <w:name w:val="heading 1"/>
    <w:basedOn w:val="Normal"/>
    <w:next w:val="head1text"/>
    <w:qFormat/>
    <w:pPr>
      <w:keepNext w:val="true"/>
      <w:numPr>
        <w:ilvl w:val="0"/>
        <w:numId w:val="2"/>
      </w:numPr>
      <w:spacing w:before="240" w:after="0"/>
      <w:outlineLvl w:val="0"/>
    </w:pPr>
    <w:rPr>
      <w:b/>
      <w:kern w:val="2"/>
    </w:rPr>
  </w:style>
  <w:style w:type="paragraph" w:styleId="Heading2">
    <w:name w:val="heading 2"/>
    <w:basedOn w:val="Normal"/>
    <w:next w:val="head2text"/>
    <w:qFormat/>
    <w:pPr>
      <w:keepNext w:val="true"/>
      <w:numPr>
        <w:ilvl w:val="0"/>
        <w:numId w:val="2"/>
      </w:numPr>
      <w:spacing w:before="240" w:after="0"/>
      <w:outlineLvl w:val="1"/>
    </w:pPr>
    <w:rPr>
      <w:b/>
      <w:lang w:val="en-AU"/>
    </w:rPr>
  </w:style>
  <w:style w:type="paragraph" w:styleId="Heading3">
    <w:name w:val="heading 3"/>
    <w:basedOn w:val="Normal"/>
    <w:next w:val="Head3text"/>
    <w:qFormat/>
    <w:pPr>
      <w:keepNext w:val="true"/>
      <w:numPr>
        <w:ilvl w:val="0"/>
        <w:numId w:val="2"/>
      </w:numPr>
      <w:spacing w:before="240" w:after="0"/>
      <w:outlineLvl w:val="2"/>
    </w:pPr>
    <w:rPr>
      <w:b/>
      <w:lang w:val="en-AU"/>
    </w:rPr>
  </w:style>
  <w:style w:type="paragraph" w:styleId="Heading4">
    <w:name w:val="heading 4"/>
    <w:basedOn w:val="Normal"/>
    <w:next w:val="Normal"/>
    <w:qFormat/>
    <w:pPr>
      <w:keepNext w:val="true"/>
      <w:numPr>
        <w:ilvl w:val="0"/>
        <w:numId w:val="2"/>
      </w:numPr>
      <w:outlineLvl w:val="3"/>
    </w:pPr>
    <w:rPr/>
  </w:style>
  <w:style w:type="paragraph" w:styleId="Heading5">
    <w:name w:val="heading 5"/>
    <w:basedOn w:val="Normal"/>
    <w:next w:val="Normal"/>
    <w:qFormat/>
    <w:pPr>
      <w:numPr>
        <w:ilvl w:val="0"/>
        <w:numId w:val="2"/>
      </w:numPr>
      <w:spacing w:before="240" w:after="60"/>
      <w:outlineLvl w:val="4"/>
    </w:pPr>
    <w:rPr/>
  </w:style>
  <w:style w:type="paragraph" w:styleId="Heading6">
    <w:name w:val="heading 6"/>
    <w:basedOn w:val="Normal"/>
    <w:next w:val="Normal"/>
    <w:qFormat/>
    <w:pPr>
      <w:numPr>
        <w:ilvl w:val="0"/>
        <w:numId w:val="2"/>
      </w:numPr>
      <w:spacing w:before="240" w:after="60"/>
      <w:outlineLvl w:val="5"/>
    </w:pPr>
    <w:rPr>
      <w:rFonts w:ascii="Times New Roman" w:hAnsi="Times New Roman" w:cs="Times New Roman"/>
      <w:i/>
    </w:rPr>
  </w:style>
  <w:style w:type="paragraph" w:styleId="Heading7">
    <w:name w:val="heading 7"/>
    <w:basedOn w:val="Normal"/>
    <w:next w:val="Normal"/>
    <w:qFormat/>
    <w:pPr>
      <w:numPr>
        <w:ilvl w:val="0"/>
        <w:numId w:val="2"/>
      </w:numPr>
      <w:spacing w:before="240" w:after="60"/>
      <w:outlineLvl w:val="6"/>
    </w:pPr>
    <w:rPr>
      <w:sz w:val="20"/>
    </w:rPr>
  </w:style>
  <w:style w:type="paragraph" w:styleId="Heading8">
    <w:name w:val="heading 8"/>
    <w:basedOn w:val="Normal"/>
    <w:next w:val="Normal"/>
    <w:qFormat/>
    <w:pPr>
      <w:numPr>
        <w:ilvl w:val="0"/>
        <w:numId w:val="2"/>
      </w:numPr>
      <w:spacing w:before="240" w:after="60"/>
      <w:outlineLvl w:val="7"/>
    </w:pPr>
    <w:rPr>
      <w:i/>
      <w:sz w:val="20"/>
    </w:rPr>
  </w:style>
  <w:style w:type="paragraph" w:styleId="Heading9">
    <w:name w:val="heading 9"/>
    <w:basedOn w:val="Normal"/>
    <w:next w:val="Normal"/>
    <w:qFormat/>
    <w:pPr>
      <w:numPr>
        <w:ilvl w:val="0"/>
        <w:numId w:val="2"/>
      </w:numPr>
      <w:spacing w:before="240" w:after="60"/>
      <w:outlineLvl w:val="8"/>
    </w:pPr>
    <w:rPr>
      <w:b/>
      <w:i/>
      <w:sz w:val="18"/>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7z0">
    <w:name w:val="WW8Num7z0"/>
    <w:qFormat/>
    <w:rPr>
      <w:rFonts w:ascii="Symbol" w:hAnsi="Symbol" w:cs="Symbol"/>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sz w:val="20"/>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sz w:val="20"/>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sz w:val="20"/>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color w:val="000000"/>
      <w:sz w:val="16"/>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paragraph" w:styleId="Heading">
    <w:name w:val="Heading"/>
    <w:basedOn w:val="Heading1"/>
    <w:next w:val="BodyText"/>
    <w:qFormat/>
    <w:pPr>
      <w:numPr>
        <w:ilvl w:val="0"/>
        <w:numId w:val="0"/>
      </w:numPr>
      <w:spacing w:before="240" w:after="240"/>
      <w:ind w:hanging="227" w:start="227" w:end="0"/>
      <w:jc w:val="center"/>
      <w:outlineLvl w:val="9"/>
    </w:pPr>
    <w:rPr>
      <w:rFonts w:ascii="Arial Black" w:hAnsi="Arial Black" w:cs="Arial Black"/>
      <w:b w:val="fals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rFonts w:ascii="Arial" w:hAnsi="Arial" w:cs="Arial"/>
    </w:rPr>
  </w:style>
  <w:style w:type="paragraph" w:styleId="items">
    <w:name w:val="items"/>
    <w:basedOn w:val="Normal"/>
    <w:qFormat/>
    <w:pPr>
      <w:numPr>
        <w:ilvl w:val="0"/>
        <w:numId w:val="9"/>
      </w:numPr>
      <w:spacing w:before="60" w:after="60"/>
      <w:ind w:hanging="284" w:start="284" w:end="0"/>
    </w:pPr>
    <w:rPr>
      <w:rFonts w:ascii="Arial" w:hAnsi="Arial" w:cs="Arial"/>
    </w:rPr>
  </w:style>
  <w:style w:type="paragraph" w:styleId="section">
    <w:name w:val="section"/>
    <w:basedOn w:val="Normal"/>
    <w:next w:val="minute"/>
    <w:qFormat/>
    <w:pPr>
      <w:spacing w:before="120" w:after="120"/>
    </w:pPr>
    <w:rPr>
      <w:rFonts w:ascii="Arial Black" w:hAnsi="Arial Black" w:cs="Arial Black"/>
      <w:sz w:val="22"/>
    </w:rPr>
  </w:style>
  <w:style w:type="paragraph" w:styleId="Footer">
    <w:name w:val="footer"/>
    <w:basedOn w:val="Normal"/>
    <w:pPr>
      <w:tabs>
        <w:tab w:val="clear" w:pos="720"/>
        <w:tab w:val="center" w:pos="4153" w:leader="none"/>
        <w:tab w:val="right" w:pos="8306" w:leader="none"/>
      </w:tabs>
    </w:pPr>
    <w:rPr>
      <w:rFonts w:ascii="Arial" w:hAnsi="Arial" w:cs="Arial"/>
      <w:sz w:val="10"/>
    </w:rPr>
  </w:style>
  <w:style w:type="paragraph" w:styleId="minute">
    <w:name w:val="minute"/>
    <w:basedOn w:val="Normal"/>
    <w:next w:val="minutetext"/>
    <w:qFormat/>
    <w:pPr>
      <w:spacing w:before="60" w:after="60"/>
      <w:ind w:hanging="283" w:start="1003" w:end="0"/>
    </w:pPr>
    <w:rPr>
      <w:rFonts w:ascii="Arial" w:hAnsi="Arial" w:cs="Arial"/>
      <w:b/>
      <w:sz w:val="22"/>
    </w:rPr>
  </w:style>
  <w:style w:type="paragraph" w:styleId="minutetext">
    <w:name w:val="minute text"/>
    <w:basedOn w:val="Normal"/>
    <w:next w:val="minute"/>
    <w:qFormat/>
    <w:pPr>
      <w:ind w:hanging="0" w:start="1021" w:end="0"/>
    </w:pPr>
    <w:rPr>
      <w:rFonts w:ascii="Arial" w:hAnsi="Arial" w:cs="Arial"/>
      <w:sz w:val="22"/>
    </w:rPr>
  </w:style>
  <w:style w:type="paragraph" w:styleId="DocumentLabel">
    <w:name w:val="Document Label"/>
    <w:basedOn w:val="Normal"/>
    <w:qFormat/>
    <w:pPr>
      <w:spacing w:before="600" w:after="0"/>
      <w:jc w:val="center"/>
    </w:pPr>
    <w:rPr>
      <w:rFonts w:ascii="Arial Black" w:hAnsi="Arial Black" w:cs="Arial Black"/>
      <w:sz w:val="36"/>
    </w:rPr>
  </w:style>
  <w:style w:type="paragraph" w:styleId="date">
    <w:name w:val="date"/>
    <w:basedOn w:val="Footer"/>
    <w:qFormat/>
    <w:pPr>
      <w:tabs>
        <w:tab w:val="clear" w:pos="4153"/>
        <w:tab w:val="clear" w:pos="8306"/>
        <w:tab w:val="center" w:pos="4820" w:leader="none"/>
        <w:tab w:val="left" w:pos="8505" w:leader="none"/>
      </w:tabs>
    </w:pPr>
    <w:rPr>
      <w:sz w:val="20"/>
    </w:rPr>
  </w:style>
  <w:style w:type="paragraph" w:styleId="BodyTextHeading">
    <w:name w:val="Body Text Heading"/>
    <w:basedOn w:val="Normal"/>
    <w:qFormat/>
    <w:pPr>
      <w:spacing w:before="120" w:after="120"/>
      <w:jc w:val="center"/>
    </w:pPr>
    <w:rPr>
      <w:rFonts w:ascii="Arial" w:hAnsi="Arial" w:cs="Arial"/>
      <w:b/>
      <w:sz w:val="32"/>
      <w:lang w:val="en-CA" w:eastAsia="en-CA"/>
    </w:rPr>
  </w:style>
  <w:style w:type="paragraph" w:styleId="MessageHead">
    <w:name w:val="Message Head"/>
    <w:basedOn w:val="Normal"/>
    <w:qFormat/>
    <w:pPr>
      <w:spacing w:before="60" w:after="60"/>
    </w:pPr>
    <w:rPr>
      <w:rFonts w:ascii="Arial" w:hAnsi="Arial" w:cs="Arial"/>
      <w:b/>
      <w:sz w:val="22"/>
    </w:rPr>
  </w:style>
  <w:style w:type="paragraph" w:styleId="head1text">
    <w:name w:val="head 1 text"/>
    <w:basedOn w:val="Normal"/>
    <w:qFormat/>
    <w:pPr/>
    <w:rPr>
      <w:lang w:val="en-AU"/>
    </w:rPr>
  </w:style>
  <w:style w:type="paragraph" w:styleId="head2text">
    <w:name w:val="head 2 text"/>
    <w:basedOn w:val="Normal"/>
    <w:qFormat/>
    <w:pPr>
      <w:ind w:hanging="340" w:start="680" w:end="0"/>
    </w:pPr>
    <w:rPr>
      <w:lang w:val="en-AU"/>
    </w:rPr>
  </w:style>
  <w:style w:type="paragraph" w:styleId="Head3text">
    <w:name w:val="Head 3 text"/>
    <w:basedOn w:val="Heading3"/>
    <w:qFormat/>
    <w:pPr>
      <w:numPr>
        <w:ilvl w:val="0"/>
        <w:numId w:val="2"/>
      </w:numPr>
      <w:spacing w:before="0" w:after="0"/>
      <w:outlineLvl w:val="9"/>
    </w:pPr>
    <w:rPr>
      <w:b w:val="fals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Minutes of Meeting</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2000-09-07T02:35:00Z</dcterms:created>
  <dc:creator>Administrator</dc:creator>
  <dc:description/>
  <dc:language>en-CA</dc:language>
  <cp:lastModifiedBy>mgrimes</cp:lastModifiedBy>
  <cp:lastPrinted>2000-09-06T16:13:00Z</cp:lastPrinted>
  <dcterms:modified xsi:type="dcterms:W3CDTF">2000-09-07T02:36:00Z</dcterms:modified>
  <cp:revision>4</cp:revision>
  <dc:subject/>
  <dc:title> </dc:title>
</cp:coreProperties>
</file>