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4" w:type="dxa"/>
        <w:jc w:val="start"/>
        <w:tblInd w:w="0" w:type="dxa"/>
        <w:tblLayout w:type="fixed"/>
        <w:tblCellMar>
          <w:top w:w="0" w:type="dxa"/>
          <w:start w:w="108" w:type="dxa"/>
          <w:bottom w:w="0" w:type="dxa"/>
          <w:end w:w="108" w:type="dxa"/>
        </w:tblCellMar>
      </w:tblPr>
      <w:tblGrid>
        <w:gridCol w:w="9464"/>
      </w:tblGrid>
      <w:tr>
        <w:trPr/>
        <w:tc>
          <w:tcPr>
            <w:tcW w:w="9464" w:type="dxa"/>
            <w:tcBorders/>
          </w:tcPr>
          <w:p>
            <w:pPr>
              <w:pStyle w:val="DocumentLabel"/>
              <w:spacing w:before="600" w:after="0"/>
              <w:jc w:val="center"/>
              <w:rPr/>
            </w:pPr>
            <w:r>
              <w:rPr/>
              <w:t>MINUTES</w:t>
            </w:r>
          </w:p>
        </w:tc>
      </w:tr>
    </w:tbl>
    <w:p>
      <w:pPr>
        <w:pStyle w:val="Normal"/>
        <w:rPr/>
      </w:pPr>
      <w:r>
        <w:rPr/>
      </w:r>
    </w:p>
    <w:tbl>
      <w:tblPr>
        <w:tblW w:w="9355" w:type="dxa"/>
        <w:jc w:val="start"/>
        <w:tblInd w:w="0" w:type="dxa"/>
        <w:tblLayout w:type="fixed"/>
        <w:tblCellMar>
          <w:top w:w="0" w:type="dxa"/>
          <w:start w:w="0" w:type="dxa"/>
          <w:bottom w:w="0" w:type="dxa"/>
          <w:end w:w="0" w:type="dxa"/>
        </w:tblCellMar>
      </w:tblPr>
      <w:tblGrid>
        <w:gridCol w:w="2948"/>
        <w:gridCol w:w="6407"/>
      </w:tblGrid>
      <w:tr>
        <w:trPr/>
        <w:tc>
          <w:tcPr>
            <w:tcW w:w="2948" w:type="dxa"/>
            <w:tcBorders/>
          </w:tcPr>
          <w:p>
            <w:pPr>
              <w:pStyle w:val="MessageHead"/>
              <w:spacing w:before="60" w:after="60"/>
              <w:rPr>
                <w:sz w:val="24"/>
              </w:rPr>
            </w:pPr>
            <w:r>
              <w:rPr>
                <w:sz w:val="24"/>
              </w:rPr>
              <w:t>Minutes:</w:t>
            </w:r>
          </w:p>
        </w:tc>
        <w:tc>
          <w:tcPr>
            <w:tcW w:w="6407" w:type="dxa"/>
            <w:tcBorders/>
          </w:tcPr>
          <w:p>
            <w:pPr>
              <w:pStyle w:val="Normal"/>
              <w:spacing w:before="60" w:after="60"/>
              <w:rPr/>
            </w:pPr>
            <w:r>
              <w:rPr/>
              <w:t xml:space="preserve">Japan Working Group </w:t>
            </w:r>
          </w:p>
        </w:tc>
      </w:tr>
      <w:tr>
        <w:trPr/>
        <w:tc>
          <w:tcPr>
            <w:tcW w:w="2948" w:type="dxa"/>
            <w:tcBorders/>
          </w:tcPr>
          <w:p>
            <w:pPr>
              <w:pStyle w:val="MessageHead"/>
              <w:spacing w:before="60" w:after="60"/>
              <w:rPr>
                <w:sz w:val="24"/>
              </w:rPr>
            </w:pPr>
            <w:r>
              <w:rPr>
                <w:sz w:val="24"/>
              </w:rPr>
              <w:t>Held on:</w:t>
            </w:r>
          </w:p>
        </w:tc>
        <w:tc>
          <w:tcPr>
            <w:tcW w:w="6407" w:type="dxa"/>
            <w:tcBorders/>
          </w:tcPr>
          <w:p>
            <w:pPr>
              <w:pStyle w:val="Normal"/>
              <w:spacing w:before="60" w:after="60"/>
              <w:rPr/>
            </w:pPr>
            <w:r>
              <w:rPr/>
              <w:t>29/06/00</w:t>
            </w:r>
          </w:p>
        </w:tc>
      </w:tr>
      <w:tr>
        <w:trPr/>
        <w:tc>
          <w:tcPr>
            <w:tcW w:w="2948" w:type="dxa"/>
            <w:tcBorders>
              <w:bottom w:val="single" w:sz="18" w:space="0" w:color="000000"/>
            </w:tcBorders>
          </w:tcPr>
          <w:p>
            <w:pPr>
              <w:pStyle w:val="MessageHead"/>
              <w:snapToGrid w:val="false"/>
              <w:spacing w:before="60" w:after="120"/>
              <w:rPr/>
            </w:pPr>
            <w:r>
              <w:rPr/>
            </w:r>
          </w:p>
        </w:tc>
        <w:tc>
          <w:tcPr>
            <w:tcW w:w="6407" w:type="dxa"/>
            <w:tcBorders>
              <w:bottom w:val="single" w:sz="18" w:space="0" w:color="000000"/>
            </w:tcBorders>
          </w:tcPr>
          <w:p>
            <w:pPr>
              <w:pStyle w:val="Normal"/>
              <w:snapToGrid w:val="false"/>
              <w:spacing w:before="60" w:after="120"/>
              <w:rPr>
                <w:b/>
              </w:rPr>
            </w:pPr>
            <w:r>
              <w:rPr>
                <w:b/>
              </w:rPr>
            </w:r>
          </w:p>
        </w:tc>
      </w:tr>
    </w:tbl>
    <w:p>
      <w:pPr>
        <w:pStyle w:val="section"/>
        <w:spacing w:before="0" w:after="0"/>
        <w:rPr>
          <w:rFonts w:ascii="Arial" w:hAnsi="Arial" w:cs="Arial"/>
        </w:rPr>
      </w:pPr>
      <w:r>
        <w:rPr>
          <w:rFonts w:cs="Arial" w:ascii="Arial" w:hAnsi="Arial"/>
        </w:rPr>
      </w:r>
    </w:p>
    <w:p>
      <w:pPr>
        <w:pStyle w:val="section"/>
        <w:spacing w:before="0" w:after="0"/>
        <w:rPr>
          <w:bCs/>
        </w:rPr>
      </w:pPr>
      <w:r>
        <w:rPr/>
        <w:t>Attendees:</w:t>
      </w:r>
    </w:p>
    <w:p>
      <w:pPr>
        <w:pStyle w:val="Normal"/>
        <w:rPr>
          <w:color w:val="000000"/>
          <w:lang w:val="en-US"/>
        </w:rPr>
      </w:pPr>
      <w:r>
        <w:rPr>
          <w:color w:val="000000"/>
          <w:lang w:val="en-US"/>
        </w:rPr>
        <w:t>John Ambler</w:t>
      </w:r>
    </w:p>
    <w:p>
      <w:pPr>
        <w:pStyle w:val="Normal"/>
        <w:rPr>
          <w:color w:val="000000"/>
          <w:lang w:val="en-US"/>
        </w:rPr>
      </w:pPr>
      <w:r>
        <w:rPr>
          <w:color w:val="000000"/>
          <w:lang w:val="en-US"/>
        </w:rPr>
        <w:t>Mike Dahlke</w:t>
      </w:r>
    </w:p>
    <w:p>
      <w:pPr>
        <w:pStyle w:val="Normal"/>
        <w:rPr/>
      </w:pPr>
      <w:r>
        <w:rPr/>
        <w:t>Mike Grimes</w:t>
      </w:r>
    </w:p>
    <w:p>
      <w:pPr>
        <w:pStyle w:val="Normal"/>
        <w:rPr>
          <w:color w:val="000000"/>
          <w:lang w:val="en-US"/>
        </w:rPr>
      </w:pPr>
      <w:r>
        <w:rPr>
          <w:color w:val="000000"/>
          <w:lang w:val="en-US"/>
        </w:rPr>
        <w:t>David Merrill</w:t>
      </w:r>
    </w:p>
    <w:p>
      <w:pPr>
        <w:pStyle w:val="Normal"/>
        <w:rPr>
          <w:color w:val="000000"/>
          <w:lang w:val="en-US"/>
        </w:rPr>
      </w:pPr>
      <w:r>
        <w:rPr>
          <w:color w:val="000000"/>
          <w:lang w:val="en-US"/>
        </w:rPr>
        <w:t>Robert Mcgrory</w:t>
      </w:r>
    </w:p>
    <w:p>
      <w:pPr>
        <w:pStyle w:val="Normal"/>
        <w:rPr/>
      </w:pPr>
      <w:r>
        <w:rPr/>
        <w:t>Sarah Novosel</w:t>
      </w:r>
    </w:p>
    <w:p>
      <w:pPr>
        <w:pStyle w:val="Normal"/>
        <w:rPr>
          <w:color w:val="000000"/>
          <w:lang w:val="en-US"/>
        </w:rPr>
      </w:pPr>
      <w:r>
        <w:rPr/>
        <w:t>Nicholas O’Day</w:t>
      </w:r>
    </w:p>
    <w:p>
      <w:pPr>
        <w:pStyle w:val="Heading1"/>
        <w:numPr>
          <w:ilvl w:val="0"/>
          <w:numId w:val="2"/>
        </w:numPr>
        <w:ind w:hanging="0" w:start="0"/>
        <w:rPr>
          <w:sz w:val="24"/>
        </w:rPr>
      </w:pPr>
      <w:r>
        <w:rPr>
          <w:sz w:val="24"/>
        </w:rPr>
        <w:t>Introduction</w:t>
      </w:r>
    </w:p>
    <w:p>
      <w:pPr>
        <w:pStyle w:val="head1text"/>
        <w:rPr>
          <w:sz w:val="24"/>
        </w:rPr>
      </w:pPr>
      <w:r>
        <w:rPr>
          <w:sz w:val="24"/>
        </w:rPr>
      </w:r>
    </w:p>
    <w:p>
      <w:pPr>
        <w:pStyle w:val="head1text"/>
        <w:numPr>
          <w:ilvl w:val="0"/>
          <w:numId w:val="4"/>
        </w:numPr>
        <w:rPr/>
      </w:pPr>
      <w:r>
        <w:rPr/>
        <w:t>Minutes from last meeting were approved without discussion</w:t>
      </w:r>
    </w:p>
    <w:p>
      <w:pPr>
        <w:pStyle w:val="head1text"/>
        <w:rPr/>
      </w:pPr>
      <w:r>
        <w:rPr/>
      </w:r>
    </w:p>
    <w:p>
      <w:pPr>
        <w:pStyle w:val="head1text"/>
        <w:rPr/>
      </w:pPr>
      <w:r>
        <w:rPr/>
      </w:r>
    </w:p>
    <w:p>
      <w:pPr>
        <w:pStyle w:val="Heading1"/>
        <w:numPr>
          <w:ilvl w:val="0"/>
          <w:numId w:val="2"/>
        </w:numPr>
        <w:ind w:hanging="0" w:start="0"/>
        <w:rPr>
          <w:sz w:val="24"/>
        </w:rPr>
      </w:pPr>
      <w:r>
        <w:rPr>
          <w:sz w:val="24"/>
        </w:rPr>
        <w:t>Regional Updates</w:t>
      </w:r>
    </w:p>
    <w:p>
      <w:pPr>
        <w:pStyle w:val="head1text"/>
        <w:ind w:start="227" w:end="0"/>
        <w:rPr>
          <w:sz w:val="24"/>
        </w:rPr>
      </w:pPr>
      <w:r>
        <w:rPr>
          <w:sz w:val="24"/>
        </w:rPr>
      </w:r>
    </w:p>
    <w:p>
      <w:pPr>
        <w:pStyle w:val="head1text"/>
        <w:numPr>
          <w:ilvl w:val="0"/>
          <w:numId w:val="5"/>
        </w:numPr>
        <w:tabs>
          <w:tab w:val="clear" w:pos="720"/>
          <w:tab w:val="left" w:pos="587" w:leader="none"/>
        </w:tabs>
        <w:spacing w:before="0" w:after="120"/>
        <w:ind w:hanging="360" w:start="587" w:end="0"/>
        <w:rPr>
          <w:b/>
          <w:i/>
          <w:i/>
        </w:rPr>
      </w:pPr>
      <w:r>
        <w:rPr>
          <w:b/>
        </w:rPr>
        <w:t xml:space="preserve">South Korea </w:t>
      </w:r>
      <w:r>
        <w:rPr/>
        <w:t>– Mike Dahlke reported that no electricity bill has been filed yet, raising doubt that it will be considered this legislative session.  PricewaterhouseCoopers is working on the KoGas study, and SK will use KEEI to prepare a report on pricing, with an emphasis on incentive rates.</w:t>
      </w:r>
    </w:p>
    <w:p>
      <w:pPr>
        <w:pStyle w:val="head1text"/>
        <w:numPr>
          <w:ilvl w:val="0"/>
          <w:numId w:val="3"/>
        </w:numPr>
        <w:tabs>
          <w:tab w:val="clear" w:pos="720"/>
          <w:tab w:val="left" w:pos="587" w:leader="none"/>
        </w:tabs>
        <w:spacing w:before="0" w:after="120"/>
        <w:ind w:hanging="360" w:start="587" w:end="0"/>
        <w:rPr/>
      </w:pPr>
      <w:r>
        <w:rPr>
          <w:b/>
        </w:rPr>
        <w:t>Singapore</w:t>
      </w:r>
      <w:r>
        <w:rPr/>
        <w:t xml:space="preserve"> – David Merrill reported that EBS continues its investigation of the Singapore market and that otherwise there is silence on regulatory developments.</w:t>
      </w:r>
    </w:p>
    <w:p>
      <w:pPr>
        <w:pStyle w:val="head1text"/>
        <w:numPr>
          <w:ilvl w:val="0"/>
          <w:numId w:val="3"/>
        </w:numPr>
        <w:tabs>
          <w:tab w:val="clear" w:pos="720"/>
          <w:tab w:val="left" w:pos="587" w:leader="none"/>
        </w:tabs>
        <w:spacing w:before="0" w:after="120"/>
        <w:ind w:hanging="360" w:start="587" w:end="0"/>
        <w:rPr/>
      </w:pPr>
      <w:r>
        <w:rPr>
          <w:b/>
          <w:bCs/>
        </w:rPr>
        <w:t>Tibet</w:t>
      </w:r>
      <w:r>
        <w:rPr/>
        <w:t xml:space="preserve"> – David Merrill reported that project Camel is getting a lot of opposition from Campaign Tibet, and is working with the State Department to manage developments there.</w:t>
      </w:r>
    </w:p>
    <w:p>
      <w:pPr>
        <w:pStyle w:val="head1text"/>
        <w:numPr>
          <w:ilvl w:val="0"/>
          <w:numId w:val="3"/>
        </w:numPr>
        <w:tabs>
          <w:tab w:val="clear" w:pos="720"/>
          <w:tab w:val="left" w:pos="587" w:leader="none"/>
        </w:tabs>
        <w:spacing w:before="0" w:after="120"/>
        <w:ind w:hanging="360" w:start="587" w:end="0"/>
        <w:rPr/>
      </w:pPr>
      <w:r>
        <w:rPr>
          <w:b/>
        </w:rPr>
        <w:t xml:space="preserve">Australia </w:t>
      </w:r>
      <w:r>
        <w:rPr/>
        <w:t xml:space="preserve">– Rob McGrory reported that nodal pricing appears to be inevitable although NECA has not yet delivered its report.  Australia is encouraging natural gas to the extent that a coal fired project ahs now been indefinitely delayed.  ACCC has recommended increasing VOLL up to $20,000.  </w:t>
      </w:r>
    </w:p>
    <w:p>
      <w:pPr>
        <w:pStyle w:val="head1text"/>
        <w:numPr>
          <w:ilvl w:val="0"/>
          <w:numId w:val="3"/>
        </w:numPr>
        <w:tabs>
          <w:tab w:val="clear" w:pos="720"/>
          <w:tab w:val="left" w:pos="587" w:leader="none"/>
        </w:tabs>
        <w:spacing w:before="0" w:after="120"/>
        <w:ind w:hanging="360" w:start="587" w:end="0"/>
        <w:rPr/>
      </w:pPr>
      <w:r>
        <w:rPr>
          <w:b/>
        </w:rPr>
        <w:t>Japan</w:t>
      </w:r>
      <w:r>
        <w:rPr/>
        <w:t xml:space="preserve"> – Mike Grimes reported on ongoing efforts to maintain contact with MITI while trying to get utilities to buy in to Enron standard purchase and sale contract.</w:t>
      </w:r>
    </w:p>
    <w:p>
      <w:pPr>
        <w:pStyle w:val="Heading1"/>
        <w:numPr>
          <w:ilvl w:val="0"/>
          <w:numId w:val="2"/>
        </w:numPr>
        <w:ind w:hanging="0" w:start="0"/>
        <w:rPr>
          <w:sz w:val="24"/>
        </w:rPr>
      </w:pPr>
      <w:r>
        <w:rPr>
          <w:sz w:val="24"/>
        </w:rPr>
        <w:t>Other Business</w:t>
      </w:r>
    </w:p>
    <w:p>
      <w:pPr>
        <w:pStyle w:val="head1text"/>
        <w:rPr>
          <w:sz w:val="24"/>
        </w:rPr>
      </w:pPr>
      <w:r>
        <w:rPr>
          <w:sz w:val="24"/>
        </w:rPr>
      </w:r>
    </w:p>
    <w:p>
      <w:pPr>
        <w:pStyle w:val="head1text"/>
        <w:spacing w:before="0" w:after="120"/>
        <w:ind w:start="227" w:end="0"/>
        <w:rPr/>
      </w:pPr>
      <w:r>
        <w:rPr>
          <w:b/>
        </w:rPr>
        <w:t>Nodal Pricing</w:t>
      </w:r>
      <w:r>
        <w:rPr/>
        <w:t xml:space="preserve"> – Sarah Novosel briefed the group on the status of a review of US nodal pricing practices, comparing and contrasting LMP, Zonal MP and the APX model.  She promised to forward the chart summarizing the research to the group.</w:t>
      </w:r>
    </w:p>
    <w:p>
      <w:pPr>
        <w:pStyle w:val="head1text"/>
        <w:spacing w:before="0" w:after="120"/>
        <w:ind w:start="227" w:end="0"/>
        <w:rPr/>
      </w:pPr>
      <w:r>
        <w:rPr>
          <w:b/>
        </w:rPr>
        <w:t>Web Site</w:t>
      </w:r>
      <w:r>
        <w:rPr>
          <w:bCs/>
        </w:rPr>
        <w:t xml:space="preserve"> – Nick O’Day solicited content for the regulatory/government affairs page on the Enron Japan web site.</w:t>
      </w:r>
    </w:p>
    <w:p>
      <w:pPr>
        <w:pStyle w:val="head1text"/>
        <w:spacing w:before="0" w:after="120"/>
        <w:ind w:start="227" w:end="0"/>
        <w:rPr>
          <w:bCs/>
          <w:i/>
          <w:i/>
        </w:rPr>
      </w:pPr>
      <w:r>
        <w:rPr>
          <w:bCs/>
          <w:i/>
        </w:rPr>
      </w:r>
    </w:p>
    <w:sectPr>
      <w:headerReference w:type="default" r:id="rId2"/>
      <w:headerReference w:type="first" r:id="rId3"/>
      <w:footerReference w:type="default" r:id="rId4"/>
      <w:footerReference w:type="first" r:id="rId5"/>
      <w:type w:val="nextPage"/>
      <w:pgSz w:w="11906" w:h="16838"/>
      <w:pgMar w:left="1418" w:right="1134" w:gutter="0" w:header="720" w:top="1134" w:footer="72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Black">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/mnt/main-storage/datasets/enron-docs/doc/Minutes_29.06.doc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/mnt/main-storage/datasets/enron-docs/doc/Minutes_29.06.doc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2000" fillcolor="#b2b2b2" stroked="f" o:allowincell="f" style="position:absolute;margin-left:123.5pt;margin-top:173.35pt;width:217.45pt;height:254.75pt;mso-wrap-style:none;v-text-anchor:middle" type="_x0000_t172">
          <v:path textpathok="t"/>
          <v:textpath on="t" fitshape="t" string="Draft" style="font-family:&quot;Arial Black&quot;;font-size:80pt" trim="t"/>
          <v:fill o:detectmouseclick="t" type="solid" color2="#4d4d4d" opacity="0.5"/>
          <v:stroke color="#3465a4" joinstyle="round" endcap="flat"/>
          <w10:wrap type="none"/>
        </v:shape>
      </w:pict>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r>
      <mc:AlternateContent>
        <mc:Choice Requires="wps">
          <w:drawing>
            <wp:anchor behindDoc="1" distT="0" distB="0" distL="114935" distR="114935" simplePos="0" locked="0" layoutInCell="1" allowOverlap="1" relativeHeight="0">
              <wp:simplePos x="0" y="0"/>
              <wp:positionH relativeFrom="column">
                <wp:posOffset>1202690</wp:posOffset>
              </wp:positionH>
              <wp:positionV relativeFrom="paragraph">
                <wp:posOffset>1561465</wp:posOffset>
              </wp:positionV>
              <wp:extent cx="3840480" cy="914400"/>
              <wp:effectExtent l="0" t="0" r="0" b="0"/>
              <wp:wrapNone/>
              <wp:docPr id="2" name="Frame2"/>
              <a:graphic xmlns:a="http://schemas.openxmlformats.org/drawingml/2006/main">
                <a:graphicData uri="http://schemas.microsoft.com/office/word/2010/wordprocessingShape">
                  <wps:wsp>
                    <wps:cNvSpPr txBox="1"/>
                    <wps:spPr>
                      <a:xfrm>
                        <a:off x="0" y="0"/>
                        <a:ext cx="384048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72pt;mso-wrap-distance-left:9.05pt;mso-wrap-distance-right:9.05pt;mso-wrap-distance-top:0pt;mso-wrap-distance-bottom:0pt;margin-top:122.95pt;mso-position-vertical-relative:text;margin-left:94.7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
              <wp:simplePos x="0" y="0"/>
              <wp:positionH relativeFrom="column">
                <wp:posOffset>1294130</wp:posOffset>
              </wp:positionH>
              <wp:positionV relativeFrom="paragraph">
                <wp:posOffset>1285240</wp:posOffset>
              </wp:positionV>
              <wp:extent cx="3840480" cy="1371600"/>
              <wp:effectExtent l="0" t="0" r="0" b="0"/>
              <wp:wrapNone/>
              <wp:docPr id="3" name="Frame1"/>
              <a:graphic xmlns:a="http://schemas.openxmlformats.org/drawingml/2006/main">
                <a:graphicData uri="http://schemas.microsoft.com/office/word/2010/wordprocessingShape">
                  <wps:wsp>
                    <wps:cNvSpPr txBox="1"/>
                    <wps:spPr>
                      <a:xfrm>
                        <a:off x="0" y="0"/>
                        <a:ext cx="3840480" cy="1371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108pt;mso-wrap-distance-left:9.05pt;mso-wrap-distance-right:9.05pt;mso-wrap-distance-top:0pt;mso-wrap-distance-bottom:0pt;margin-top:101.2pt;mso-position-vertical-relative:text;margin-left:101.9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27"/>
        </w:tabs>
        <w:ind w:start="227" w:hanging="227"/>
      </w:pPr>
    </w:lvl>
    <w:lvl w:ilvl="1">
      <w:start w:val="1"/>
      <w:numFmt w:val="decimal"/>
      <w:lvlText w:val="%1.%2."/>
      <w:lvlJc w:val="start"/>
      <w:pPr>
        <w:tabs>
          <w:tab w:val="num" w:pos="397"/>
        </w:tabs>
        <w:ind w:start="624" w:hanging="397"/>
      </w:pPr>
    </w:lvl>
    <w:lvl w:ilvl="2">
      <w:start w:val="1"/>
      <w:numFmt w:val="decimal"/>
      <w:lvlText w:val="%1.%2.%3."/>
      <w:lvlJc w:val="start"/>
      <w:pPr>
        <w:tabs>
          <w:tab w:val="num" w:pos="567"/>
        </w:tabs>
        <w:ind w:start="1191" w:hanging="567"/>
      </w:pPr>
    </w:lvl>
    <w:lvl w:ilvl="3">
      <w:start w:val="1"/>
      <w:numFmt w:val="decimal"/>
      <w:lvlText w:val="%1.%2.%3.%4."/>
      <w:lvlJc w:val="start"/>
      <w:pPr>
        <w:tabs>
          <w:tab w:val="num" w:pos="708"/>
        </w:tabs>
        <w:ind w:start="1899" w:hanging="708"/>
      </w:pPr>
    </w:lvl>
    <w:lvl w:ilvl="4">
      <w:start w:val="1"/>
      <w:numFmt w:val="decimal"/>
      <w:lvlText w:val="%1.%2.%3.%4.%5."/>
      <w:lvlJc w:val="start"/>
      <w:pPr>
        <w:tabs>
          <w:tab w:val="num" w:pos="708"/>
        </w:tabs>
        <w:ind w:start="2607" w:hanging="708"/>
      </w:pPr>
    </w:lvl>
    <w:lvl w:ilvl="5">
      <w:start w:val="1"/>
      <w:numFmt w:val="decimal"/>
      <w:lvlText w:val="%1.%2.%3.%4.%5.%6."/>
      <w:lvlJc w:val="start"/>
      <w:pPr>
        <w:tabs>
          <w:tab w:val="num" w:pos="708"/>
        </w:tabs>
        <w:ind w:start="3315" w:hanging="708"/>
      </w:pPr>
    </w:lvl>
    <w:lvl w:ilvl="6">
      <w:start w:val="1"/>
      <w:numFmt w:val="decimal"/>
      <w:lvlText w:val="%1.%2.%3.%4.%5.%6.%7."/>
      <w:lvlJc w:val="start"/>
      <w:pPr>
        <w:tabs>
          <w:tab w:val="num" w:pos="708"/>
        </w:tabs>
        <w:ind w:start="4023" w:hanging="708"/>
      </w:pPr>
    </w:lvl>
    <w:lvl w:ilvl="7">
      <w:start w:val="1"/>
      <w:numFmt w:val="decimal"/>
      <w:lvlText w:val="%1.%2.%3.%4.%5.%6.%7.%8."/>
      <w:lvlJc w:val="start"/>
      <w:pPr>
        <w:tabs>
          <w:tab w:val="num" w:pos="708"/>
        </w:tabs>
        <w:ind w:start="4731" w:hanging="708"/>
      </w:pPr>
    </w:lvl>
    <w:lvl w:ilvl="8">
      <w:start w:val="1"/>
      <w:numFmt w:val="decimal"/>
      <w:lvlText w:val="%1.%2.%3.%4.%5.%6.%7.%8.%9."/>
      <w:lvlJc w:val="start"/>
      <w:pPr>
        <w:tabs>
          <w:tab w:val="num" w:pos="708"/>
        </w:tabs>
        <w:ind w:start="5439" w:hanging="708"/>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AU" w:bidi="ar-SA" w:eastAsia="zh-CN"/>
    </w:rPr>
  </w:style>
  <w:style w:type="paragraph" w:styleId="Heading1">
    <w:name w:val="heading 1"/>
    <w:basedOn w:val="Normal"/>
    <w:next w:val="head1text"/>
    <w:qFormat/>
    <w:pPr>
      <w:keepNext w:val="true"/>
      <w:numPr>
        <w:ilvl w:val="0"/>
        <w:numId w:val="2"/>
      </w:numPr>
      <w:spacing w:before="240" w:after="0"/>
      <w:outlineLvl w:val="0"/>
    </w:pPr>
    <w:rPr>
      <w:b/>
      <w:kern w:val="2"/>
    </w:rPr>
  </w:style>
  <w:style w:type="paragraph" w:styleId="Heading2">
    <w:name w:val="heading 2"/>
    <w:basedOn w:val="Normal"/>
    <w:next w:val="head2text"/>
    <w:qFormat/>
    <w:pPr>
      <w:keepNext w:val="true"/>
      <w:numPr>
        <w:ilvl w:val="0"/>
        <w:numId w:val="2"/>
      </w:numPr>
      <w:spacing w:before="240" w:after="0"/>
      <w:outlineLvl w:val="1"/>
    </w:pPr>
    <w:rPr>
      <w:b/>
      <w:lang w:val="en-AU"/>
    </w:rPr>
  </w:style>
  <w:style w:type="paragraph" w:styleId="Heading3">
    <w:name w:val="heading 3"/>
    <w:basedOn w:val="Normal"/>
    <w:next w:val="Head3text"/>
    <w:qFormat/>
    <w:pPr>
      <w:keepNext w:val="true"/>
      <w:numPr>
        <w:ilvl w:val="0"/>
        <w:numId w:val="2"/>
      </w:numPr>
      <w:spacing w:before="240" w:after="0"/>
      <w:outlineLvl w:val="2"/>
    </w:pPr>
    <w:rPr>
      <w:b/>
      <w:lang w:val="en-AU"/>
    </w:rPr>
  </w:style>
  <w:style w:type="paragraph" w:styleId="Heading4">
    <w:name w:val="heading 4"/>
    <w:basedOn w:val="Normal"/>
    <w:next w:val="Normal"/>
    <w:qFormat/>
    <w:pPr>
      <w:keepNext w:val="true"/>
      <w:numPr>
        <w:ilvl w:val="0"/>
        <w:numId w:val="2"/>
      </w:numPr>
      <w:outlineLvl w:val="3"/>
    </w:pPr>
    <w:rPr/>
  </w:style>
  <w:style w:type="paragraph" w:styleId="Heading5">
    <w:name w:val="heading 5"/>
    <w:basedOn w:val="Normal"/>
    <w:next w:val="Normal"/>
    <w:qFormat/>
    <w:pPr>
      <w:numPr>
        <w:ilvl w:val="0"/>
        <w:numId w:val="2"/>
      </w:numPr>
      <w:spacing w:before="240" w:after="60"/>
      <w:outlineLvl w:val="4"/>
    </w:pPr>
    <w:rPr/>
  </w:style>
  <w:style w:type="paragraph" w:styleId="Heading6">
    <w:name w:val="heading 6"/>
    <w:basedOn w:val="Normal"/>
    <w:next w:val="Normal"/>
    <w:qFormat/>
    <w:pPr>
      <w:numPr>
        <w:ilvl w:val="0"/>
        <w:numId w:val="2"/>
      </w:numPr>
      <w:spacing w:before="240" w:after="60"/>
      <w:outlineLvl w:val="5"/>
    </w:pPr>
    <w:rPr>
      <w:rFonts w:ascii="Times New Roman" w:hAnsi="Times New Roman" w:cs="Times New Roman"/>
      <w:i/>
    </w:rPr>
  </w:style>
  <w:style w:type="paragraph" w:styleId="Heading7">
    <w:name w:val="heading 7"/>
    <w:basedOn w:val="Normal"/>
    <w:next w:val="Normal"/>
    <w:qFormat/>
    <w:pPr>
      <w:numPr>
        <w:ilvl w:val="0"/>
        <w:numId w:val="2"/>
      </w:numPr>
      <w:spacing w:before="240" w:after="60"/>
      <w:outlineLvl w:val="6"/>
    </w:pPr>
    <w:rPr>
      <w:sz w:val="20"/>
    </w:rPr>
  </w:style>
  <w:style w:type="paragraph" w:styleId="Heading8">
    <w:name w:val="heading 8"/>
    <w:basedOn w:val="Normal"/>
    <w:next w:val="Normal"/>
    <w:qFormat/>
    <w:pPr>
      <w:numPr>
        <w:ilvl w:val="0"/>
        <w:numId w:val="2"/>
      </w:numPr>
      <w:spacing w:before="240" w:after="60"/>
      <w:outlineLvl w:val="7"/>
    </w:pPr>
    <w:rPr>
      <w:i/>
      <w:sz w:val="20"/>
    </w:rPr>
  </w:style>
  <w:style w:type="paragraph" w:styleId="Heading9">
    <w:name w:val="heading 9"/>
    <w:basedOn w:val="Normal"/>
    <w:next w:val="Normal"/>
    <w:qFormat/>
    <w:pPr>
      <w:numPr>
        <w:ilvl w:val="0"/>
        <w:numId w:val="2"/>
      </w:numPr>
      <w:spacing w:before="240" w:after="60"/>
      <w:outlineLvl w:val="8"/>
    </w:pPr>
    <w:rPr>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0"/>
    </w:rPr>
  </w:style>
  <w:style w:type="character" w:styleId="WW8Num16z0">
    <w:name w:val="WW8Num16z0"/>
    <w:qFormat/>
    <w:rPr>
      <w:rFonts w:ascii="Symbol" w:hAnsi="Symbol" w:cs="Symbol"/>
      <w:color w:val="000000"/>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Heading1"/>
    <w:next w:val="BodyText"/>
    <w:qFormat/>
    <w:pPr>
      <w:numPr>
        <w:ilvl w:val="0"/>
        <w:numId w:val="0"/>
      </w:numPr>
      <w:spacing w:before="240" w:after="240"/>
      <w:ind w:hanging="227" w:start="227" w:end="0"/>
      <w:jc w:val="center"/>
      <w:outlineLvl w:val="9"/>
    </w:pPr>
    <w:rPr>
      <w:rFonts w:ascii="Arial Black" w:hAnsi="Arial Black" w:cs="Arial Black"/>
      <w:b w:val="fals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ascii="Arial" w:hAnsi="Arial" w:cs="Arial"/>
    </w:rPr>
  </w:style>
  <w:style w:type="paragraph" w:styleId="items">
    <w:name w:val="items"/>
    <w:basedOn w:val="Normal"/>
    <w:qFormat/>
    <w:pPr>
      <w:numPr>
        <w:ilvl w:val="0"/>
        <w:numId w:val="6"/>
      </w:numPr>
      <w:spacing w:before="60" w:after="60"/>
      <w:ind w:hanging="284" w:start="284" w:end="0"/>
    </w:pPr>
    <w:rPr>
      <w:rFonts w:ascii="Arial" w:hAnsi="Arial" w:cs="Arial"/>
    </w:rPr>
  </w:style>
  <w:style w:type="paragraph" w:styleId="section">
    <w:name w:val="section"/>
    <w:basedOn w:val="Normal"/>
    <w:next w:val="minute"/>
    <w:qFormat/>
    <w:pPr>
      <w:spacing w:before="120" w:after="120"/>
    </w:pPr>
    <w:rPr>
      <w:rFonts w:ascii="Arial Black" w:hAnsi="Arial Black" w:cs="Arial Black"/>
      <w:sz w:val="22"/>
    </w:rPr>
  </w:style>
  <w:style w:type="paragraph" w:styleId="Footer">
    <w:name w:val="footer"/>
    <w:basedOn w:val="Normal"/>
    <w:pPr>
      <w:tabs>
        <w:tab w:val="clear" w:pos="720"/>
        <w:tab w:val="center" w:pos="4153" w:leader="none"/>
        <w:tab w:val="right" w:pos="8306" w:leader="none"/>
      </w:tabs>
    </w:pPr>
    <w:rPr>
      <w:rFonts w:ascii="Arial" w:hAnsi="Arial" w:cs="Arial"/>
      <w:sz w:val="10"/>
    </w:rPr>
  </w:style>
  <w:style w:type="paragraph" w:styleId="minute">
    <w:name w:val="minute"/>
    <w:basedOn w:val="Normal"/>
    <w:next w:val="minutetext"/>
    <w:qFormat/>
    <w:pPr>
      <w:spacing w:before="60" w:after="60"/>
      <w:ind w:hanging="283" w:start="1003" w:end="0"/>
    </w:pPr>
    <w:rPr>
      <w:rFonts w:ascii="Arial" w:hAnsi="Arial" w:cs="Arial"/>
      <w:b/>
      <w:sz w:val="22"/>
    </w:rPr>
  </w:style>
  <w:style w:type="paragraph" w:styleId="minutetext">
    <w:name w:val="minute text"/>
    <w:basedOn w:val="Normal"/>
    <w:next w:val="minute"/>
    <w:qFormat/>
    <w:pPr>
      <w:ind w:hanging="0" w:start="1021" w:end="0"/>
    </w:pPr>
    <w:rPr>
      <w:rFonts w:ascii="Arial" w:hAnsi="Arial" w:cs="Arial"/>
      <w:sz w:val="22"/>
    </w:rPr>
  </w:style>
  <w:style w:type="paragraph" w:styleId="DocumentLabel">
    <w:name w:val="Document Label"/>
    <w:basedOn w:val="Normal"/>
    <w:qFormat/>
    <w:pPr>
      <w:spacing w:before="600" w:after="0"/>
      <w:jc w:val="center"/>
    </w:pPr>
    <w:rPr>
      <w:rFonts w:ascii="Arial Black" w:hAnsi="Arial Black" w:cs="Arial Black"/>
      <w:sz w:val="36"/>
    </w:rPr>
  </w:style>
  <w:style w:type="paragraph" w:styleId="date">
    <w:name w:val="date"/>
    <w:basedOn w:val="Footer"/>
    <w:qFormat/>
    <w:pPr>
      <w:tabs>
        <w:tab w:val="clear" w:pos="4153"/>
        <w:tab w:val="clear" w:pos="8306"/>
        <w:tab w:val="center" w:pos="4820" w:leader="none"/>
        <w:tab w:val="left" w:pos="8505" w:leader="none"/>
      </w:tabs>
    </w:pPr>
    <w:rPr>
      <w:sz w:val="20"/>
    </w:rPr>
  </w:style>
  <w:style w:type="paragraph" w:styleId="BodyTextHeading">
    <w:name w:val="Body Text Heading"/>
    <w:basedOn w:val="Normal"/>
    <w:qFormat/>
    <w:pPr>
      <w:spacing w:before="120" w:after="120"/>
      <w:jc w:val="center"/>
    </w:pPr>
    <w:rPr>
      <w:rFonts w:ascii="Arial" w:hAnsi="Arial" w:cs="Arial"/>
      <w:b/>
      <w:sz w:val="32"/>
      <w:lang w:val="en-CA" w:eastAsia="en-CA"/>
    </w:rPr>
  </w:style>
  <w:style w:type="paragraph" w:styleId="MessageHead">
    <w:name w:val="Message Head"/>
    <w:basedOn w:val="Normal"/>
    <w:qFormat/>
    <w:pPr>
      <w:spacing w:before="60" w:after="60"/>
    </w:pPr>
    <w:rPr>
      <w:rFonts w:ascii="Arial" w:hAnsi="Arial" w:cs="Arial"/>
      <w:b/>
      <w:sz w:val="22"/>
    </w:rPr>
  </w:style>
  <w:style w:type="paragraph" w:styleId="head1text">
    <w:name w:val="head 1 text"/>
    <w:basedOn w:val="Normal"/>
    <w:qFormat/>
    <w:pPr/>
    <w:rPr>
      <w:lang w:val="en-AU"/>
    </w:rPr>
  </w:style>
  <w:style w:type="paragraph" w:styleId="head2text">
    <w:name w:val="head 2 text"/>
    <w:basedOn w:val="Normal"/>
    <w:qFormat/>
    <w:pPr>
      <w:ind w:hanging="340" w:start="680" w:end="0"/>
    </w:pPr>
    <w:rPr>
      <w:lang w:val="en-AU"/>
    </w:rPr>
  </w:style>
  <w:style w:type="paragraph" w:styleId="Head3text">
    <w:name w:val="Head 3 text"/>
    <w:basedOn w:val="Heading3"/>
    <w:qFormat/>
    <w:pPr>
      <w:numPr>
        <w:ilvl w:val="0"/>
        <w:numId w:val="2"/>
      </w:numPr>
      <w:spacing w:before="0" w:after="0"/>
      <w:outlineLvl w:val="9"/>
    </w:pPr>
    <w:rPr>
      <w:b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Minutes of Meeting</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2000-07-12T06:15:00Z</dcterms:created>
  <dc:creator>Administrator</dc:creator>
  <dc:description/>
  <dc:language>en-CA</dc:language>
  <cp:lastModifiedBy>mgrimes</cp:lastModifiedBy>
  <cp:lastPrinted>1999-11-29T16:03:00Z</cp:lastPrinted>
  <dcterms:modified xsi:type="dcterms:W3CDTF">2000-07-12T06:39:00Z</dcterms:modified>
  <cp:revision>3</cp:revision>
  <dc:subject/>
  <dc:title> </dc:title>
</cp:coreProperties>
</file>