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4" w:type="dxa"/>
        <w:jc w:val="start"/>
        <w:tblInd w:w="0" w:type="dxa"/>
        <w:tblLayout w:type="fixed"/>
        <w:tblCellMar>
          <w:top w:w="0" w:type="dxa"/>
          <w:start w:w="108" w:type="dxa"/>
          <w:bottom w:w="0" w:type="dxa"/>
          <w:end w:w="108" w:type="dxa"/>
        </w:tblCellMar>
      </w:tblPr>
      <w:tblGrid>
        <w:gridCol w:w="9464"/>
      </w:tblGrid>
      <w:tr>
        <w:trPr/>
        <w:tc>
          <w:tcPr>
            <w:tcW w:w="9464" w:type="dxa"/>
            <w:tcBorders/>
          </w:tcPr>
          <w:p>
            <w:pPr>
              <w:pStyle w:val="DocumentLabel"/>
              <w:spacing w:before="600" w:after="0"/>
              <w:rPr>
                <w:rFonts w:ascii="Arial" w:hAnsi="Arial" w:cs="Arial"/>
              </w:rPr>
            </w:pPr>
            <w:r>
              <w:rPr>
                <w:rFonts w:cs="Arial" w:ascii="Arial" w:hAnsi="Arial"/>
              </w:rPr>
              <w:t>MINUTES</w:t>
            </w:r>
          </w:p>
        </w:tc>
      </w:tr>
    </w:tbl>
    <w:p>
      <w:pPr>
        <w:pStyle w:val="Normal"/>
        <w:rPr>
          <w:rFonts w:ascii="Arial" w:hAnsi="Arial" w:cs="Arial"/>
        </w:rPr>
      </w:pPr>
      <w:r>
        <w:rPr>
          <w:rFonts w:cs="Arial" w:ascii="Arial" w:hAnsi="Arial"/>
        </w:rPr>
      </w:r>
    </w:p>
    <w:tbl>
      <w:tblPr>
        <w:tblW w:w="9355" w:type="dxa"/>
        <w:jc w:val="start"/>
        <w:tblInd w:w="0" w:type="dxa"/>
        <w:tblLayout w:type="fixed"/>
        <w:tblCellMar>
          <w:top w:w="0" w:type="dxa"/>
          <w:start w:w="0" w:type="dxa"/>
          <w:bottom w:w="0" w:type="dxa"/>
          <w:end w:w="0" w:type="dxa"/>
        </w:tblCellMar>
      </w:tblPr>
      <w:tblGrid>
        <w:gridCol w:w="2948"/>
        <w:gridCol w:w="6407"/>
      </w:tblGrid>
      <w:tr>
        <w:trPr/>
        <w:tc>
          <w:tcPr>
            <w:tcW w:w="2948" w:type="dxa"/>
            <w:tcBorders/>
          </w:tcPr>
          <w:p>
            <w:pPr>
              <w:pStyle w:val="MessageHead"/>
              <w:spacing w:before="60" w:after="60"/>
              <w:rPr>
                <w:rFonts w:cs="Arial"/>
                <w:sz w:val="24"/>
              </w:rPr>
            </w:pPr>
            <w:r>
              <w:rPr>
                <w:rFonts w:cs="Arial"/>
                <w:sz w:val="24"/>
              </w:rPr>
              <w:t>Minutes:</w:t>
            </w:r>
          </w:p>
        </w:tc>
        <w:tc>
          <w:tcPr>
            <w:tcW w:w="6407" w:type="dxa"/>
            <w:tcBorders/>
          </w:tcPr>
          <w:p>
            <w:pPr>
              <w:pStyle w:val="Normal"/>
              <w:spacing w:before="60" w:after="60"/>
              <w:rPr>
                <w:rFonts w:ascii="Arial" w:hAnsi="Arial" w:cs="Arial"/>
              </w:rPr>
            </w:pPr>
            <w:r>
              <w:rPr>
                <w:rFonts w:cs="Arial" w:ascii="Arial" w:hAnsi="Arial"/>
              </w:rPr>
              <w:t xml:space="preserve">Japan Working Group </w:t>
            </w:r>
          </w:p>
        </w:tc>
      </w:tr>
      <w:tr>
        <w:trPr/>
        <w:tc>
          <w:tcPr>
            <w:tcW w:w="2948" w:type="dxa"/>
            <w:tcBorders/>
          </w:tcPr>
          <w:p>
            <w:pPr>
              <w:pStyle w:val="MessageHead"/>
              <w:spacing w:before="60" w:after="60"/>
              <w:rPr>
                <w:rFonts w:cs="Arial"/>
                <w:sz w:val="24"/>
              </w:rPr>
            </w:pPr>
            <w:r>
              <w:rPr>
                <w:rFonts w:cs="Arial"/>
                <w:sz w:val="24"/>
              </w:rPr>
              <w:t>Held on:</w:t>
            </w:r>
          </w:p>
        </w:tc>
        <w:tc>
          <w:tcPr>
            <w:tcW w:w="6407" w:type="dxa"/>
            <w:tcBorders/>
          </w:tcPr>
          <w:p>
            <w:pPr>
              <w:pStyle w:val="Normal"/>
              <w:spacing w:before="60" w:after="60"/>
              <w:rPr>
                <w:rFonts w:ascii="Arial" w:hAnsi="Arial" w:cs="Arial"/>
              </w:rPr>
            </w:pPr>
            <w:r>
              <w:rPr>
                <w:rFonts w:cs="Arial" w:ascii="Arial" w:hAnsi="Arial"/>
              </w:rPr>
              <w:t>21/9/00</w:t>
            </w:r>
          </w:p>
        </w:tc>
      </w:tr>
      <w:tr>
        <w:trPr/>
        <w:tc>
          <w:tcPr>
            <w:tcW w:w="2948" w:type="dxa"/>
            <w:tcBorders>
              <w:bottom w:val="single" w:sz="18" w:space="0" w:color="000000"/>
            </w:tcBorders>
          </w:tcPr>
          <w:p>
            <w:pPr>
              <w:pStyle w:val="MessageHead"/>
              <w:snapToGrid w:val="false"/>
              <w:spacing w:before="60" w:after="120"/>
              <w:rPr>
                <w:rFonts w:ascii="Arial" w:hAnsi="Arial" w:cs="Arial"/>
              </w:rPr>
            </w:pPr>
            <w:r>
              <w:rPr>
                <w:rFonts w:cs="Arial"/>
              </w:rPr>
            </w:r>
          </w:p>
        </w:tc>
        <w:tc>
          <w:tcPr>
            <w:tcW w:w="6407" w:type="dxa"/>
            <w:tcBorders>
              <w:bottom w:val="single" w:sz="18" w:space="0" w:color="000000"/>
            </w:tcBorders>
          </w:tcPr>
          <w:p>
            <w:pPr>
              <w:pStyle w:val="Normal"/>
              <w:snapToGrid w:val="false"/>
              <w:spacing w:before="60" w:after="120"/>
              <w:rPr>
                <w:rFonts w:ascii="Arial" w:hAnsi="Arial" w:cs="Arial"/>
                <w:b/>
              </w:rPr>
            </w:pPr>
            <w:r>
              <w:rPr>
                <w:rFonts w:cs="Arial" w:ascii="Arial" w:hAnsi="Arial"/>
                <w:b/>
              </w:rPr>
            </w:r>
          </w:p>
        </w:tc>
      </w:tr>
    </w:tbl>
    <w:p>
      <w:pPr>
        <w:pStyle w:val="section"/>
        <w:spacing w:before="0" w:after="0"/>
        <w:rPr>
          <w:rFonts w:ascii="Arial" w:hAnsi="Arial" w:cs="Arial"/>
        </w:rPr>
      </w:pPr>
      <w:r>
        <w:rPr>
          <w:rFonts w:cs="Arial" w:ascii="Arial" w:hAnsi="Arial"/>
        </w:rPr>
      </w:r>
    </w:p>
    <w:p>
      <w:pPr>
        <w:pStyle w:val="section"/>
        <w:spacing w:before="0" w:after="0"/>
        <w:rPr>
          <w:rFonts w:ascii="Arial" w:hAnsi="Arial" w:cs="Arial"/>
          <w:b/>
          <w:sz w:val="24"/>
        </w:rPr>
      </w:pPr>
      <w:r>
        <w:rPr>
          <w:rFonts w:cs="Arial" w:ascii="Arial" w:hAnsi="Arial"/>
          <w:b/>
          <w:sz w:val="24"/>
        </w:rPr>
        <w:t>Attendees:</w:t>
      </w:r>
    </w:p>
    <w:p>
      <w:pPr>
        <w:pStyle w:val="Normal"/>
        <w:rPr>
          <w:rFonts w:ascii="Arial" w:hAnsi="Arial" w:cs="Arial"/>
          <w:sz w:val="22"/>
        </w:rPr>
      </w:pPr>
      <w:r>
        <w:rPr>
          <w:rFonts w:cs="Arial" w:ascii="Arial" w:hAnsi="Arial"/>
          <w:sz w:val="22"/>
        </w:rPr>
        <w:t>Mike Grimes</w:t>
      </w:r>
    </w:p>
    <w:p>
      <w:pPr>
        <w:pStyle w:val="head1text"/>
        <w:rPr>
          <w:rFonts w:cs="Arial"/>
        </w:rPr>
      </w:pPr>
      <w:r>
        <w:rPr>
          <w:rFonts w:cs="Arial"/>
        </w:rPr>
        <w:t>Mika Watanabe</w:t>
      </w:r>
    </w:p>
    <w:p>
      <w:pPr>
        <w:pStyle w:val="head1text"/>
        <w:rPr>
          <w:rFonts w:cs="Arial"/>
        </w:rPr>
      </w:pPr>
      <w:r>
        <w:rPr>
          <w:rFonts w:cs="Arial"/>
        </w:rPr>
        <w:t>Mark Crowther</w:t>
      </w:r>
    </w:p>
    <w:p>
      <w:pPr>
        <w:pStyle w:val="head1text"/>
        <w:rPr>
          <w:rFonts w:cs="Arial"/>
        </w:rPr>
      </w:pPr>
      <w:r>
        <w:rPr>
          <w:rFonts w:cs="Arial"/>
        </w:rPr>
        <w:t>Nick O’Day</w:t>
      </w:r>
    </w:p>
    <w:p>
      <w:pPr>
        <w:pStyle w:val="head1text"/>
        <w:rPr>
          <w:rFonts w:cs="Arial"/>
        </w:rPr>
      </w:pPr>
      <w:r>
        <w:rPr>
          <w:rFonts w:cs="Arial"/>
        </w:rPr>
        <w:t>Rob McGrory</w:t>
      </w:r>
    </w:p>
    <w:p>
      <w:pPr>
        <w:pStyle w:val="head1text"/>
        <w:rPr>
          <w:rFonts w:cs="Arial"/>
        </w:rPr>
      </w:pPr>
      <w:r>
        <w:rPr>
          <w:rFonts w:cs="Arial"/>
        </w:rPr>
        <w:t>Steve Burns</w:t>
      </w:r>
    </w:p>
    <w:p>
      <w:pPr>
        <w:pStyle w:val="head1text"/>
        <w:rPr>
          <w:rFonts w:cs="Arial"/>
        </w:rPr>
      </w:pPr>
      <w:r>
        <w:rPr>
          <w:rFonts w:cs="Arial"/>
        </w:rPr>
        <w:t>Dan Allegretti</w:t>
      </w:r>
    </w:p>
    <w:p>
      <w:pPr>
        <w:pStyle w:val="head1text"/>
        <w:rPr>
          <w:rFonts w:cs="Arial"/>
        </w:rPr>
      </w:pPr>
      <w:r>
        <w:rPr>
          <w:rFonts w:cs="Arial"/>
        </w:rPr>
        <w:t>John Ambler</w:t>
      </w:r>
    </w:p>
    <w:p>
      <w:pPr>
        <w:pStyle w:val="Heading1"/>
        <w:ind w:hanging="0" w:start="0"/>
        <w:rPr>
          <w:rFonts w:cs="Arial"/>
          <w:sz w:val="24"/>
        </w:rPr>
      </w:pPr>
      <w:r>
        <w:rPr>
          <w:rFonts w:eastAsia="Arial" w:cs="Arial"/>
          <w:sz w:val="24"/>
        </w:rPr>
        <w:t xml:space="preserve"> </w:t>
      </w:r>
      <w:r>
        <w:rPr>
          <w:rFonts w:cs="Arial"/>
          <w:sz w:val="24"/>
        </w:rPr>
        <w:t>Introduction</w:t>
      </w:r>
    </w:p>
    <w:p>
      <w:pPr>
        <w:pStyle w:val="head1text"/>
        <w:rPr>
          <w:rFonts w:cs="Arial"/>
          <w:sz w:val="24"/>
        </w:rPr>
      </w:pPr>
      <w:r>
        <w:rPr>
          <w:rFonts w:cs="Arial"/>
          <w:sz w:val="24"/>
        </w:rPr>
      </w:r>
    </w:p>
    <w:p>
      <w:pPr>
        <w:pStyle w:val="head1text"/>
        <w:numPr>
          <w:ilvl w:val="0"/>
          <w:numId w:val="3"/>
        </w:numPr>
        <w:rPr>
          <w:rFonts w:cs="Arial"/>
        </w:rPr>
      </w:pPr>
      <w:r>
        <w:rPr>
          <w:rFonts w:cs="Arial"/>
        </w:rPr>
        <w:t>Minutes from the last meeting were approved.</w:t>
      </w:r>
    </w:p>
    <w:p>
      <w:pPr>
        <w:pStyle w:val="head1text"/>
        <w:numPr>
          <w:ilvl w:val="0"/>
          <w:numId w:val="3"/>
        </w:numPr>
        <w:rPr>
          <w:rFonts w:cs="Arial"/>
        </w:rPr>
      </w:pPr>
      <w:r>
        <w:rPr>
          <w:rFonts w:cs="Arial"/>
        </w:rPr>
        <w:t>All attendees reported they received the Singapore presentation and the Japan gas comments.</w:t>
      </w:r>
    </w:p>
    <w:p>
      <w:pPr>
        <w:pStyle w:val="Heading1"/>
        <w:ind w:hanging="0" w:start="0"/>
        <w:rPr>
          <w:rFonts w:cs="Arial"/>
          <w:sz w:val="24"/>
        </w:rPr>
      </w:pPr>
      <w:r>
        <w:rPr>
          <w:rFonts w:cs="Arial"/>
          <w:sz w:val="24"/>
        </w:rPr>
        <w:t>Regional Updates</w:t>
      </w:r>
    </w:p>
    <w:p>
      <w:pPr>
        <w:pStyle w:val="head1text"/>
        <w:rPr>
          <w:rFonts w:cs="Arial"/>
          <w:sz w:val="24"/>
        </w:rPr>
      </w:pPr>
      <w:r>
        <w:rPr>
          <w:rFonts w:cs="Arial"/>
          <w:sz w:val="24"/>
        </w:rPr>
      </w:r>
    </w:p>
    <w:p>
      <w:pPr>
        <w:pStyle w:val="Normal"/>
        <w:rPr>
          <w:rFonts w:ascii="Arial" w:hAnsi="Arial" w:cs="Arial"/>
        </w:rPr>
      </w:pPr>
      <w:r>
        <w:rPr>
          <w:rFonts w:cs="Arial" w:ascii="Arial" w:hAnsi="Arial"/>
        </w:rPr>
        <w:t>Australia</w:t>
      </w:r>
    </w:p>
    <w:p>
      <w:pPr>
        <w:pStyle w:val="Normal"/>
        <w:rPr>
          <w:rFonts w:ascii="Arial" w:hAnsi="Arial" w:cs="Arial"/>
        </w:rPr>
      </w:pPr>
      <w:r>
        <w:rPr>
          <w:rFonts w:cs="Arial" w:ascii="Arial" w:hAnsi="Arial"/>
        </w:rPr>
      </w:r>
    </w:p>
    <w:p>
      <w:pPr>
        <w:pStyle w:val="Normal"/>
        <w:numPr>
          <w:ilvl w:val="0"/>
          <w:numId w:val="5"/>
        </w:numPr>
        <w:rPr>
          <w:rFonts w:ascii="Arial" w:hAnsi="Arial" w:cs="Arial"/>
          <w:sz w:val="22"/>
          <w:szCs w:val="20"/>
        </w:rPr>
      </w:pPr>
      <w:r>
        <w:rPr>
          <w:rFonts w:cs="Arial" w:ascii="Arial" w:hAnsi="Arial"/>
          <w:sz w:val="22"/>
        </w:rPr>
        <w:t>Nodal pricing report expected in early October.</w:t>
      </w:r>
    </w:p>
    <w:p>
      <w:pPr>
        <w:pStyle w:val="Normal"/>
        <w:numPr>
          <w:ilvl w:val="0"/>
          <w:numId w:val="5"/>
        </w:numPr>
        <w:rPr>
          <w:rFonts w:ascii="Arial" w:hAnsi="Arial" w:cs="Arial"/>
          <w:sz w:val="22"/>
          <w:szCs w:val="20"/>
        </w:rPr>
      </w:pPr>
      <w:r>
        <w:rPr>
          <w:rFonts w:cs="Arial" w:ascii="Arial" w:hAnsi="Arial"/>
          <w:sz w:val="22"/>
          <w:szCs w:val="20"/>
        </w:rPr>
        <w:t>Minister for Financial Services and Regulation, Joe Hockey, is in London and will meet with Enron about exempt futures trading.</w:t>
      </w:r>
    </w:p>
    <w:p>
      <w:pPr>
        <w:pStyle w:val="Normal"/>
        <w:numPr>
          <w:ilvl w:val="0"/>
          <w:numId w:val="5"/>
        </w:numPr>
        <w:rPr>
          <w:rFonts w:ascii="Arial" w:hAnsi="Arial" w:cs="Arial"/>
          <w:sz w:val="22"/>
        </w:rPr>
      </w:pPr>
      <w:r>
        <w:rPr>
          <w:rFonts w:cs="Arial" w:ascii="Arial" w:hAnsi="Arial"/>
          <w:sz w:val="22"/>
        </w:rPr>
        <w:t>Victoria will release its distribution price review report September 21</w:t>
      </w:r>
      <w:r>
        <w:rPr>
          <w:rFonts w:cs="Arial" w:ascii="Arial" w:hAnsi="Arial"/>
          <w:sz w:val="22"/>
          <w:vertAlign w:val="superscript"/>
        </w:rPr>
        <w:t>st</w:t>
      </w:r>
      <w:r>
        <w:rPr>
          <w:rFonts w:cs="Arial" w:ascii="Arial" w:hAnsi="Arial"/>
          <w:sz w:val="22"/>
        </w:rPr>
        <w:t>.</w:t>
      </w:r>
    </w:p>
    <w:p>
      <w:pPr>
        <w:pStyle w:val="Normal"/>
        <w:numPr>
          <w:ilvl w:val="0"/>
          <w:numId w:val="5"/>
        </w:numPr>
        <w:rPr>
          <w:rFonts w:ascii="Arial" w:hAnsi="Arial" w:cs="Arial"/>
          <w:sz w:val="22"/>
        </w:rPr>
      </w:pPr>
      <w:r>
        <w:rPr>
          <w:rFonts w:cs="Arial" w:ascii="Arial" w:hAnsi="Arial"/>
          <w:sz w:val="22"/>
        </w:rPr>
        <w:t>New South Wales has decided to ring fence electricity retail/distribution operations as part of the implementation of competition.</w:t>
      </w:r>
    </w:p>
    <w:p>
      <w:pPr>
        <w:pStyle w:val="Normal"/>
        <w:rPr>
          <w:rFonts w:ascii="Arial" w:hAnsi="Arial" w:cs="Arial"/>
          <w:sz w:val="22"/>
        </w:rPr>
      </w:pPr>
      <w:r>
        <w:rPr>
          <w:rFonts w:cs="Arial" w:ascii="Arial" w:hAnsi="Arial"/>
          <w:sz w:val="22"/>
        </w:rPr>
      </w:r>
    </w:p>
    <w:p>
      <w:pPr>
        <w:pStyle w:val="Footer"/>
        <w:tabs>
          <w:tab w:val="clear" w:pos="4320"/>
          <w:tab w:val="clear" w:pos="8640"/>
        </w:tabs>
        <w:rPr>
          <w:rFonts w:ascii="Arial" w:hAnsi="Arial" w:cs="Arial"/>
        </w:rPr>
      </w:pPr>
      <w:r>
        <w:rPr>
          <w:rFonts w:cs="Arial" w:ascii="Arial" w:hAnsi="Arial"/>
        </w:rPr>
        <w:t>APEC/WTO/USTR</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APEC energy ministers will hold a seminar on energy services, including e-commerce, in February 2001.</w:t>
      </w:r>
    </w:p>
    <w:p>
      <w:pPr>
        <w:pStyle w:val="Normal"/>
        <w:numPr>
          <w:ilvl w:val="0"/>
          <w:numId w:val="2"/>
        </w:numPr>
        <w:rPr>
          <w:rFonts w:ascii="Arial" w:hAnsi="Arial" w:cs="Arial"/>
          <w:sz w:val="22"/>
        </w:rPr>
      </w:pPr>
      <w:r>
        <w:rPr>
          <w:rFonts w:cs="Arial" w:ascii="Arial" w:hAnsi="Arial"/>
          <w:sz w:val="22"/>
        </w:rPr>
        <w:t>WTO discussions on the convergence of trade/IT/energy are slowing, partly due to Japan’s opposition to the US plan.</w:t>
      </w:r>
    </w:p>
    <w:p>
      <w:pPr>
        <w:pStyle w:val="Normal"/>
        <w:numPr>
          <w:ilvl w:val="0"/>
          <w:numId w:val="2"/>
        </w:numPr>
        <w:rPr>
          <w:rFonts w:ascii="Arial" w:hAnsi="Arial" w:cs="Arial"/>
          <w:sz w:val="22"/>
        </w:rPr>
      </w:pPr>
      <w:r>
        <w:rPr>
          <w:rFonts w:cs="Arial" w:ascii="Arial" w:hAnsi="Arial"/>
          <w:sz w:val="22"/>
        </w:rPr>
        <w:t>Steve Burns continues to work with USTR personnel on their agenda for the next round of bilateral deregulation negotiations with Japan.</w:t>
      </w:r>
    </w:p>
    <w:p>
      <w:pPr>
        <w:pStyle w:val="head1text"/>
        <w:rPr>
          <w:rFonts w:ascii="Arial" w:hAnsi="Arial" w:cs="Arial"/>
          <w:sz w:val="22"/>
        </w:rPr>
      </w:pPr>
      <w:r>
        <w:rPr>
          <w:rFonts w:cs="Arial"/>
          <w:sz w:val="22"/>
        </w:rPr>
      </w:r>
    </w:p>
    <w:p>
      <w:pPr>
        <w:pStyle w:val="head1text"/>
        <w:rPr>
          <w:rFonts w:cs="Arial"/>
          <w:sz w:val="24"/>
        </w:rPr>
      </w:pPr>
      <w:r>
        <w:rPr>
          <w:rFonts w:cs="Arial"/>
          <w:sz w:val="24"/>
        </w:rPr>
        <w:t>Japan</w:t>
      </w:r>
    </w:p>
    <w:p>
      <w:pPr>
        <w:pStyle w:val="head1text"/>
        <w:rPr>
          <w:rFonts w:cs="Arial"/>
          <w:sz w:val="24"/>
        </w:rPr>
      </w:pPr>
      <w:r>
        <w:rPr>
          <w:rFonts w:cs="Arial"/>
          <w:sz w:val="24"/>
        </w:rPr>
      </w:r>
    </w:p>
    <w:p>
      <w:pPr>
        <w:pStyle w:val="head1text"/>
        <w:numPr>
          <w:ilvl w:val="0"/>
          <w:numId w:val="4"/>
        </w:numPr>
        <w:rPr>
          <w:rFonts w:cs="Arial"/>
        </w:rPr>
      </w:pPr>
      <w:r>
        <w:rPr>
          <w:rFonts w:cs="Arial"/>
        </w:rPr>
        <w:t>Continuing to develop input on the next steps for deregulation of the energy industry for use with MITI, the LDP, and the USG.</w:t>
      </w:r>
    </w:p>
    <w:p>
      <w:pPr>
        <w:pStyle w:val="head1text"/>
        <w:numPr>
          <w:ilvl w:val="0"/>
          <w:numId w:val="4"/>
        </w:numPr>
        <w:rPr>
          <w:rFonts w:cs="Arial"/>
        </w:rPr>
      </w:pPr>
      <w:r>
        <w:rPr>
          <w:rFonts w:cs="Arial"/>
        </w:rPr>
        <w:t>Mr. Ueda, MITI director of the Gas Utility Division, will visit Enron in Washington September 28</w:t>
      </w:r>
      <w:r>
        <w:rPr>
          <w:rFonts w:cs="Arial"/>
          <w:vertAlign w:val="superscript"/>
        </w:rPr>
        <w:t>th</w:t>
      </w:r>
      <w:r>
        <w:rPr>
          <w:rFonts w:cs="Arial"/>
        </w:rPr>
        <w:t>.</w:t>
      </w:r>
    </w:p>
    <w:p>
      <w:pPr>
        <w:pStyle w:val="head1text"/>
        <w:numPr>
          <w:ilvl w:val="0"/>
          <w:numId w:val="4"/>
        </w:numPr>
        <w:rPr>
          <w:rFonts w:cs="Arial"/>
        </w:rPr>
      </w:pPr>
      <w:r>
        <w:rPr>
          <w:rFonts w:cs="Arial"/>
        </w:rPr>
        <w:t>MITI has announced biannual reviews of competition in the electricity industry.</w:t>
      </w:r>
    </w:p>
    <w:p>
      <w:pPr>
        <w:pStyle w:val="head1text"/>
        <w:numPr>
          <w:ilvl w:val="0"/>
          <w:numId w:val="4"/>
        </w:numPr>
        <w:rPr>
          <w:rFonts w:cs="Arial"/>
        </w:rPr>
      </w:pPr>
      <w:r>
        <w:rPr>
          <w:rFonts w:cs="Arial"/>
        </w:rPr>
        <w:t>The utilities notified MITI and the public of their unilateral decisions to lower rates for electricity supply and for wheeling service. EJ is pursuing accounting back up.</w:t>
      </w:r>
    </w:p>
    <w:p>
      <w:pPr>
        <w:pStyle w:val="Heading1"/>
        <w:ind w:hanging="0" w:start="0"/>
        <w:rPr>
          <w:rFonts w:cs="Arial"/>
          <w:sz w:val="24"/>
        </w:rPr>
      </w:pPr>
      <w:r>
        <w:rPr>
          <w:rFonts w:cs="Arial"/>
          <w:sz w:val="24"/>
        </w:rPr>
        <w:t>Other Business</w:t>
      </w:r>
    </w:p>
    <w:p>
      <w:pPr>
        <w:pStyle w:val="head1text"/>
        <w:rPr>
          <w:rFonts w:cs="Arial"/>
          <w:sz w:val="24"/>
        </w:rPr>
      </w:pPr>
      <w:r>
        <w:rPr>
          <w:rFonts w:cs="Arial"/>
          <w:sz w:val="24"/>
        </w:rPr>
      </w:r>
    </w:p>
    <w:p>
      <w:pPr>
        <w:pStyle w:val="Normal"/>
        <w:rPr>
          <w:rFonts w:ascii="Arial" w:hAnsi="Arial" w:cs="Arial"/>
          <w:vanish/>
          <w:color w:val="000000"/>
        </w:rPr>
      </w:pPr>
      <w:r>
        <w:rPr>
          <w:rFonts w:cs="Arial" w:ascii="Arial" w:hAnsi="Arial"/>
          <w:sz w:val="22"/>
        </w:rPr>
        <w:t xml:space="preserve">Dan Allegretti briefed on Enron’s “Electricity Market Vision”, based on the flowgate concept.  This concept has been promoted by Dynegy and APX, and will create a bilateral forward market operating in real time.  It is intended to remove the obstacles to transmission trading that result from nodal pricing and LMP.  Among other things, the proposal avoids the pancaked rate problem, and transmission tights would be auctioned in a market that would be operated by an independent, for profit entity.  A copy of the presentation on the concept will be circulated with these minutes.  Other contacts for information about the proposal are: </w:t>
      </w:r>
      <w:r>
        <w:rPr>
          <w:rFonts w:cs="Arial" w:ascii="Arial" w:hAnsi="Arial"/>
          <w:color w:val="000000"/>
          <w:sz w:val="22"/>
          <w:szCs w:val="26"/>
        </w:rPr>
        <w:t>Sarah Novosel, Mary Hain, and Christi Nicolay.</w:t>
      </w:r>
    </w:p>
    <w:p>
      <w:pPr>
        <w:pStyle w:val="head1text"/>
        <w:numPr>
          <w:ilvl w:val="0"/>
          <w:numId w:val="4"/>
        </w:numPr>
        <w:rPr>
          <w:rFonts w:cs="Arial"/>
        </w:rPr>
      </w:pPr>
      <w:r>
        <w:rPr>
          <w:rFonts w:cs="Arial"/>
          <w:vanish/>
          <w:color w:val="000000"/>
        </w:rPr>
      </w:r>
    </w:p>
    <w:p>
      <w:pPr>
        <w:pStyle w:val="Heading1"/>
        <w:ind w:hanging="0" w:start="0"/>
        <w:rPr>
          <w:rFonts w:cs="Arial"/>
          <w:sz w:val="24"/>
        </w:rPr>
      </w:pPr>
      <w:r>
        <w:rPr>
          <w:rFonts w:cs="Arial"/>
          <w:sz w:val="24"/>
        </w:rPr>
        <w:t>Future Meetings</w:t>
      </w:r>
    </w:p>
    <w:p>
      <w:pPr>
        <w:pStyle w:val="head1text"/>
        <w:ind w:start="227" w:end="0"/>
        <w:rPr>
          <w:rFonts w:cs="Arial"/>
          <w:sz w:val="24"/>
        </w:rPr>
      </w:pPr>
      <w:r>
        <w:rPr>
          <w:rFonts w:cs="Arial"/>
          <w:sz w:val="24"/>
        </w:rPr>
      </w:r>
    </w:p>
    <w:p>
      <w:pPr>
        <w:pStyle w:val="head1text"/>
        <w:spacing w:before="0" w:after="120"/>
        <w:ind w:start="357" w:end="0"/>
        <w:rPr/>
      </w:pPr>
      <w:r>
        <w:rPr>
          <w:rFonts w:cs="Arial"/>
        </w:rPr>
        <w:t>The next meeting will be Thursday, October 5th, at 0800, Tokyo time.</w:t>
      </w:r>
      <w:r>
        <w:rPr>
          <w:rFonts w:cs="Arial"/>
          <w:lang w:val="en-US"/>
        </w:rPr>
        <w:t xml:space="preserve">  The contact numbers remain as follows:</w:t>
      </w:r>
    </w:p>
    <w:p>
      <w:pPr>
        <w:pStyle w:val="head1text"/>
        <w:spacing w:before="0" w:after="120"/>
        <w:ind w:start="357" w:end="0"/>
        <w:rPr>
          <w:rFonts w:cs="Arial"/>
          <w:lang w:val="en-US"/>
        </w:rPr>
      </w:pPr>
      <w:r>
        <w:rPr>
          <w:rFonts w:cs="Arial"/>
          <w:lang w:val="en-US"/>
        </w:rPr>
        <w:tab/>
        <w:t xml:space="preserve">US – </w:t>
        <w:tab/>
        <w:tab/>
        <w:t>800-991-9019</w:t>
      </w:r>
    </w:p>
    <w:p>
      <w:pPr>
        <w:pStyle w:val="head1text"/>
        <w:spacing w:before="0" w:after="120"/>
        <w:ind w:start="357" w:end="0"/>
        <w:rPr>
          <w:rFonts w:cs="Arial"/>
          <w:lang w:val="en-US"/>
        </w:rPr>
      </w:pPr>
      <w:r>
        <w:rPr>
          <w:rFonts w:cs="Arial"/>
          <w:lang w:val="en-US"/>
        </w:rPr>
        <w:tab/>
        <w:t>International – 847-619-8039</w:t>
      </w:r>
    </w:p>
    <w:p>
      <w:pPr>
        <w:pStyle w:val="head1text"/>
        <w:spacing w:before="0" w:after="120"/>
        <w:ind w:start="357" w:end="0"/>
        <w:rPr>
          <w:rFonts w:cs="Arial"/>
          <w:b/>
          <w:i/>
          <w:i/>
        </w:rPr>
      </w:pPr>
      <w:r>
        <w:rPr>
          <w:rFonts w:cs="Arial"/>
          <w:lang w:val="en-US"/>
        </w:rPr>
        <w:tab/>
        <w:t>Access Code -</w:t>
        <w:tab/>
        <w:t xml:space="preserve"> 576-4488</w:t>
      </w:r>
    </w:p>
    <w:p>
      <w:pPr>
        <w:pStyle w:val="Normal"/>
        <w:rPr>
          <w:rFonts w:ascii="Arial" w:hAnsi="Arial" w:cs="Arial"/>
          <w:b/>
          <w:i/>
          <w:i/>
        </w:rPr>
      </w:pPr>
      <w:r>
        <w:rPr>
          <w:rFonts w:cs="Arial" w:ascii="Arial" w:hAnsi="Arial"/>
          <w:b/>
          <w:i/>
        </w:rPr>
      </w:r>
    </w:p>
    <w:sectPr>
      <w:headerReference w:type="default" r:id="rId2"/>
      <w:headerReference w:type="first" r:id="rId3"/>
      <w:type w:val="nextPage"/>
      <w:pgSz w:w="11906" w:h="16838"/>
      <w:pgMar w:left="1418" w:right="1134"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1" distT="0" distB="0" distL="114935" distR="114935" simplePos="0" locked="0" layoutInCell="1" allowOverlap="1" relativeHeight="3">
              <wp:simplePos x="0" y="0"/>
              <wp:positionH relativeFrom="column">
                <wp:posOffset>1202690</wp:posOffset>
              </wp:positionH>
              <wp:positionV relativeFrom="paragraph">
                <wp:posOffset>1561465</wp:posOffset>
              </wp:positionV>
              <wp:extent cx="3840480" cy="914400"/>
              <wp:effectExtent l="0" t="0" r="0" b="0"/>
              <wp:wrapNone/>
              <wp:docPr id="1" name="Frame2"/>
              <a:graphic xmlns:a="http://schemas.openxmlformats.org/drawingml/2006/main">
                <a:graphicData uri="http://schemas.microsoft.com/office/word/2010/wordprocessingShape">
                  <wps:wsp>
                    <wps:cNvSpPr txBox="1"/>
                    <wps:spPr>
                      <a:xfrm>
                        <a:off x="0" y="0"/>
                        <a:ext cx="3840480" cy="9144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72pt;mso-wrap-distance-left:9.05pt;mso-wrap-distance-right:9.05pt;mso-wrap-distance-top:0pt;mso-wrap-distance-bottom:0pt;margin-top:122.95pt;mso-position-vertical-relative:text;margin-left:94.7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
              <wp:simplePos x="0" y="0"/>
              <wp:positionH relativeFrom="column">
                <wp:posOffset>1294130</wp:posOffset>
              </wp:positionH>
              <wp:positionV relativeFrom="paragraph">
                <wp:posOffset>1285240</wp:posOffset>
              </wp:positionV>
              <wp:extent cx="3840480" cy="1371600"/>
              <wp:effectExtent l="0" t="0" r="0" b="0"/>
              <wp:wrapNone/>
              <wp:docPr id="2" name="Frame1"/>
              <a:graphic xmlns:a="http://schemas.openxmlformats.org/drawingml/2006/main">
                <a:graphicData uri="http://schemas.microsoft.com/office/word/2010/wordprocessingShape">
                  <wps:wsp>
                    <wps:cNvSpPr txBox="1"/>
                    <wps:spPr>
                      <a:xfrm>
                        <a:off x="0" y="0"/>
                        <a:ext cx="3840480" cy="13716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108pt;mso-wrap-distance-left:9.05pt;mso-wrap-distance-right:9.05pt;mso-wrap-distance-top:0pt;mso-wrap-distance-bottom:0pt;margin-top:101.2pt;mso-position-vertical-relative:text;margin-left:101.9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227"/>
        </w:tabs>
        <w:ind w:start="227" w:hanging="227"/>
      </w:pPr>
    </w:lvl>
    <w:lvl w:ilvl="1">
      <w:start w:val="1"/>
      <w:pStyle w:val="Heading2"/>
      <w:numFmt w:val="decimal"/>
      <w:lvlText w:val="%1.%2."/>
      <w:lvlJc w:val="start"/>
      <w:pPr>
        <w:tabs>
          <w:tab w:val="num" w:pos="397"/>
        </w:tabs>
        <w:ind w:start="624" w:hanging="397"/>
      </w:pPr>
    </w:lvl>
    <w:lvl w:ilvl="2">
      <w:start w:val="1"/>
      <w:pStyle w:val="Heading3"/>
      <w:numFmt w:val="decimal"/>
      <w:lvlText w:val="%1.%2.%3."/>
      <w:lvlJc w:val="start"/>
      <w:pPr>
        <w:tabs>
          <w:tab w:val="num" w:pos="567"/>
        </w:tabs>
        <w:ind w:start="1191" w:hanging="567"/>
      </w:pPr>
    </w:lvl>
    <w:lvl w:ilvl="3">
      <w:start w:val="1"/>
      <w:pStyle w:val="Heading4"/>
      <w:numFmt w:val="decimal"/>
      <w:lvlText w:val="%1.%2.%3.%4."/>
      <w:lvlJc w:val="start"/>
      <w:pPr>
        <w:tabs>
          <w:tab w:val="num" w:pos="708"/>
        </w:tabs>
        <w:ind w:start="1899" w:hanging="708"/>
      </w:pPr>
    </w:lvl>
    <w:lvl w:ilvl="4">
      <w:start w:val="1"/>
      <w:pStyle w:val="Heading5"/>
      <w:numFmt w:val="decimal"/>
      <w:lvlText w:val="%1.%2.%3.%4.%5."/>
      <w:lvlJc w:val="start"/>
      <w:pPr>
        <w:tabs>
          <w:tab w:val="num" w:pos="708"/>
        </w:tabs>
        <w:ind w:start="2607" w:hanging="708"/>
      </w:pPr>
    </w:lvl>
    <w:lvl w:ilvl="5">
      <w:start w:val="1"/>
      <w:pStyle w:val="Heading6"/>
      <w:numFmt w:val="decimal"/>
      <w:lvlText w:val="%1.%2.%3.%4.%5.%6."/>
      <w:lvlJc w:val="start"/>
      <w:pPr>
        <w:tabs>
          <w:tab w:val="num" w:pos="708"/>
        </w:tabs>
        <w:ind w:start="3315" w:hanging="708"/>
      </w:pPr>
    </w:lvl>
    <w:lvl w:ilvl="6">
      <w:start w:val="1"/>
      <w:pStyle w:val="Heading7"/>
      <w:numFmt w:val="decimal"/>
      <w:lvlText w:val="%1.%2.%3.%4.%5.%6.%7."/>
      <w:lvlJc w:val="start"/>
      <w:pPr>
        <w:tabs>
          <w:tab w:val="num" w:pos="708"/>
        </w:tabs>
        <w:ind w:start="4023" w:hanging="708"/>
      </w:pPr>
    </w:lvl>
    <w:lvl w:ilvl="7">
      <w:start w:val="1"/>
      <w:pStyle w:val="Heading8"/>
      <w:numFmt w:val="decimal"/>
      <w:lvlText w:val="%1.%2.%3.%4.%5.%6.%7.%8."/>
      <w:lvlJc w:val="start"/>
      <w:pPr>
        <w:tabs>
          <w:tab w:val="num" w:pos="708"/>
        </w:tabs>
        <w:ind w:start="4731" w:hanging="708"/>
      </w:pPr>
    </w:lvl>
    <w:lvl w:ilvl="8">
      <w:start w:val="1"/>
      <w:pStyle w:val="Heading9"/>
      <w:numFmt w:val="decimal"/>
      <w:lvlText w:val="%1.%2.%3.%4.%5.%6.%7.%8.%9."/>
      <w:lvlJc w:val="start"/>
      <w:pPr>
        <w:tabs>
          <w:tab w:val="num" w:pos="708"/>
        </w:tabs>
        <w:ind w:start="5439" w:hanging="708"/>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1text"/>
    <w:qFormat/>
    <w:pPr>
      <w:keepNext w:val="true"/>
      <w:numPr>
        <w:ilvl w:val="0"/>
        <w:numId w:val="1"/>
      </w:numPr>
      <w:spacing w:before="240" w:after="0"/>
      <w:outlineLvl w:val="0"/>
    </w:pPr>
    <w:rPr>
      <w:rFonts w:ascii="Arial" w:hAnsi="Arial" w:cs="Arial"/>
      <w:b/>
      <w:kern w:val="2"/>
      <w:sz w:val="22"/>
      <w:szCs w:val="20"/>
      <w:lang w:val="en-AU"/>
    </w:rPr>
  </w:style>
  <w:style w:type="paragraph" w:styleId="Heading2">
    <w:name w:val="heading 2"/>
    <w:basedOn w:val="Normal"/>
    <w:next w:val="Normal"/>
    <w:qFormat/>
    <w:pPr>
      <w:keepNext w:val="true"/>
      <w:numPr>
        <w:ilvl w:val="1"/>
        <w:numId w:val="1"/>
      </w:numPr>
      <w:spacing w:before="240" w:after="0"/>
      <w:outlineLvl w:val="1"/>
    </w:pPr>
    <w:rPr>
      <w:rFonts w:ascii="Arial" w:hAnsi="Arial" w:cs="Arial"/>
      <w:b/>
      <w:sz w:val="22"/>
      <w:szCs w:val="20"/>
      <w:lang w:val="en-AU"/>
    </w:rPr>
  </w:style>
  <w:style w:type="paragraph" w:styleId="Heading3">
    <w:name w:val="heading 3"/>
    <w:basedOn w:val="Normal"/>
    <w:next w:val="Normal"/>
    <w:qFormat/>
    <w:pPr>
      <w:keepNext w:val="true"/>
      <w:numPr>
        <w:ilvl w:val="2"/>
        <w:numId w:val="1"/>
      </w:numPr>
      <w:spacing w:before="240" w:after="0"/>
      <w:outlineLvl w:val="2"/>
    </w:pPr>
    <w:rPr>
      <w:rFonts w:ascii="Arial" w:hAnsi="Arial" w:cs="Arial"/>
      <w:b/>
      <w:sz w:val="22"/>
      <w:szCs w:val="20"/>
      <w:lang w:val="en-AU"/>
    </w:rPr>
  </w:style>
  <w:style w:type="paragraph" w:styleId="Heading4">
    <w:name w:val="heading 4"/>
    <w:basedOn w:val="Normal"/>
    <w:next w:val="Normal"/>
    <w:qFormat/>
    <w:pPr>
      <w:keepNext w:val="true"/>
      <w:numPr>
        <w:ilvl w:val="3"/>
        <w:numId w:val="1"/>
      </w:numPr>
      <w:outlineLvl w:val="3"/>
    </w:pPr>
    <w:rPr>
      <w:rFonts w:ascii="Arial" w:hAnsi="Arial" w:cs="Arial"/>
      <w:sz w:val="22"/>
      <w:szCs w:val="20"/>
      <w:lang w:val="en-AU"/>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0"/>
      <w:lang w:val="en-AU"/>
    </w:rPr>
  </w:style>
  <w:style w:type="paragraph" w:styleId="Heading6">
    <w:name w:val="heading 6"/>
    <w:basedOn w:val="Normal"/>
    <w:next w:val="Normal"/>
    <w:qFormat/>
    <w:pPr>
      <w:numPr>
        <w:ilvl w:val="5"/>
        <w:numId w:val="1"/>
      </w:numPr>
      <w:spacing w:before="240" w:after="60"/>
      <w:outlineLvl w:val="5"/>
    </w:pPr>
    <w:rPr>
      <w:i/>
      <w:sz w:val="22"/>
      <w:szCs w:val="20"/>
      <w:lang w:val="en-AU"/>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lang w:val="en-AU"/>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lang w:val="en-AU"/>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lang w:val="en-AU"/>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rFonts w:ascii="Arial" w:hAnsi="Arial" w:cs="Arial"/>
      <w:sz w:val="22"/>
      <w:szCs w:val="20"/>
      <w:lang w:val="en-AU"/>
    </w:rPr>
  </w:style>
  <w:style w:type="paragraph" w:styleId="section">
    <w:name w:val="section"/>
    <w:basedOn w:val="Normal"/>
    <w:next w:val="Normal"/>
    <w:qFormat/>
    <w:pPr>
      <w:spacing w:before="120" w:after="120"/>
    </w:pPr>
    <w:rPr>
      <w:rFonts w:ascii="Arial Black" w:hAnsi="Arial Black" w:cs="Arial Black"/>
      <w:sz w:val="22"/>
      <w:szCs w:val="20"/>
      <w:lang w:val="en-AU"/>
    </w:rPr>
  </w:style>
  <w:style w:type="paragraph" w:styleId="DocumentLabel">
    <w:name w:val="Document Label"/>
    <w:basedOn w:val="Normal"/>
    <w:qFormat/>
    <w:pPr>
      <w:spacing w:before="600" w:after="0"/>
      <w:jc w:val="center"/>
    </w:pPr>
    <w:rPr>
      <w:rFonts w:ascii="Arial Black" w:hAnsi="Arial Black" w:cs="Arial Black"/>
      <w:sz w:val="36"/>
      <w:szCs w:val="20"/>
      <w:lang w:val="en-AU"/>
    </w:rPr>
  </w:style>
  <w:style w:type="paragraph" w:styleId="MessageHead">
    <w:name w:val="Message Head"/>
    <w:basedOn w:val="Normal"/>
    <w:qFormat/>
    <w:pPr>
      <w:spacing w:before="60" w:after="60"/>
    </w:pPr>
    <w:rPr>
      <w:rFonts w:ascii="Arial" w:hAnsi="Arial" w:cs="Arial"/>
      <w:b/>
      <w:sz w:val="22"/>
      <w:szCs w:val="20"/>
      <w:lang w:val="en-AU"/>
    </w:rPr>
  </w:style>
  <w:style w:type="paragraph" w:styleId="head1text">
    <w:name w:val="head 1 text"/>
    <w:basedOn w:val="Normal"/>
    <w:qFormat/>
    <w:pPr/>
    <w:rPr>
      <w:rFonts w:ascii="Arial" w:hAnsi="Arial" w:cs="Arial"/>
      <w:sz w:val="22"/>
      <w:szCs w:val="20"/>
      <w:lang w:val="en-AU"/>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2000-09-26T02:44:00Z</dcterms:created>
  <dc:creator>mgrimes</dc:creator>
  <dc:description/>
  <dc:language>en-CA</dc:language>
  <cp:lastModifiedBy>mgrimes</cp:lastModifiedBy>
  <dcterms:modified xsi:type="dcterms:W3CDTF">2000-09-26T02:44:00Z</dcterms:modified>
  <cp:revision>2</cp:revision>
  <dc:subject/>
  <dc:title>MINUTES</dc:title>
</cp:coreProperties>
</file>