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4" w:type="dxa"/>
        <w:jc w:val="start"/>
        <w:tblInd w:w="0" w:type="dxa"/>
        <w:tblLayout w:type="fixed"/>
        <w:tblCellMar>
          <w:top w:w="0" w:type="dxa"/>
          <w:start w:w="108" w:type="dxa"/>
          <w:bottom w:w="0" w:type="dxa"/>
          <w:end w:w="108" w:type="dxa"/>
        </w:tblCellMar>
      </w:tblPr>
      <w:tblGrid>
        <w:gridCol w:w="6204"/>
        <w:gridCol w:w="3260"/>
      </w:tblGrid>
      <w:tr>
        <w:trPr/>
        <w:tc>
          <w:tcPr>
            <w:tcW w:w="6204" w:type="dxa"/>
            <w:tcBorders/>
          </w:tcPr>
          <w:p>
            <w:pPr>
              <w:pStyle w:val="Normal"/>
              <w:snapToGrid w:val="false"/>
              <w:rPr/>
            </w:pPr>
            <w:r>
              <w:rPr/>
            </w:r>
          </w:p>
        </w:tc>
        <w:tc>
          <w:tcPr>
            <w:tcW w:w="3260" w:type="dxa"/>
            <w:tcBorders/>
          </w:tcPr>
          <w:p>
            <w:pPr>
              <w:pStyle w:val="Normal"/>
              <w:snapToGrid w:val="false"/>
              <w:rPr/>
            </w:pPr>
            <w:r>
              <w:rPr/>
            </w:r>
          </w:p>
        </w:tc>
      </w:tr>
      <w:tr>
        <w:trPr/>
        <w:tc>
          <w:tcPr>
            <w:tcW w:w="9464" w:type="dxa"/>
            <w:gridSpan w:val="2"/>
            <w:tcBorders/>
          </w:tcPr>
          <w:p>
            <w:pPr>
              <w:pStyle w:val="DocumentLabel"/>
              <w:spacing w:before="600" w:after="0"/>
              <w:jc w:val="center"/>
              <w:rPr/>
            </w:pPr>
            <w:r>
              <w:rPr/>
              <w:t>MINUTES</w:t>
            </w:r>
          </w:p>
          <w:p>
            <w:pPr>
              <w:pStyle w:val="DocumentLabel"/>
              <w:rPr/>
            </w:pPr>
            <w:r>
              <w:rPr/>
            </w:r>
          </w:p>
        </w:tc>
      </w:tr>
    </w:tbl>
    <w:p>
      <w:pPr>
        <w:pStyle w:val="Normal"/>
        <w:rPr/>
      </w:pPr>
      <w:r>
        <w:rPr/>
      </w:r>
    </w:p>
    <w:tbl>
      <w:tblPr>
        <w:tblW w:w="9355" w:type="dxa"/>
        <w:jc w:val="start"/>
        <w:tblInd w:w="0" w:type="dxa"/>
        <w:tblLayout w:type="fixed"/>
        <w:tblCellMar>
          <w:top w:w="0" w:type="dxa"/>
          <w:start w:w="0" w:type="dxa"/>
          <w:bottom w:w="0" w:type="dxa"/>
          <w:end w:w="0" w:type="dxa"/>
        </w:tblCellMar>
      </w:tblPr>
      <w:tblGrid>
        <w:gridCol w:w="2948"/>
        <w:gridCol w:w="6407"/>
      </w:tblGrid>
      <w:tr>
        <w:trPr/>
        <w:tc>
          <w:tcPr>
            <w:tcW w:w="2948" w:type="dxa"/>
            <w:tcBorders/>
          </w:tcPr>
          <w:p>
            <w:pPr>
              <w:pStyle w:val="MessageHead"/>
              <w:spacing w:before="60" w:after="60"/>
              <w:rPr>
                <w:sz w:val="24"/>
              </w:rPr>
            </w:pPr>
            <w:r>
              <w:rPr>
                <w:sz w:val="24"/>
              </w:rPr>
              <w:t>Minutes:</w:t>
            </w:r>
          </w:p>
        </w:tc>
        <w:tc>
          <w:tcPr>
            <w:tcW w:w="6407" w:type="dxa"/>
            <w:tcBorders/>
          </w:tcPr>
          <w:p>
            <w:pPr>
              <w:pStyle w:val="Normal"/>
              <w:spacing w:before="60" w:after="60"/>
              <w:rPr/>
            </w:pPr>
            <w:r>
              <w:rPr/>
              <w:t xml:space="preserve">Japan Working Group </w:t>
            </w:r>
          </w:p>
        </w:tc>
      </w:tr>
      <w:tr>
        <w:trPr/>
        <w:tc>
          <w:tcPr>
            <w:tcW w:w="2948" w:type="dxa"/>
            <w:tcBorders/>
          </w:tcPr>
          <w:p>
            <w:pPr>
              <w:pStyle w:val="MessageHead"/>
              <w:spacing w:before="60" w:after="60"/>
              <w:rPr>
                <w:sz w:val="24"/>
              </w:rPr>
            </w:pPr>
            <w:r>
              <w:rPr>
                <w:sz w:val="24"/>
              </w:rPr>
              <w:t>Held on:</w:t>
            </w:r>
          </w:p>
        </w:tc>
        <w:tc>
          <w:tcPr>
            <w:tcW w:w="6407" w:type="dxa"/>
            <w:tcBorders/>
          </w:tcPr>
          <w:p>
            <w:pPr>
              <w:pStyle w:val="Normal"/>
              <w:spacing w:before="60" w:after="60"/>
              <w:rPr/>
            </w:pPr>
            <w:r>
              <w:rPr/>
              <w:t>18/2/00</w:t>
            </w:r>
          </w:p>
        </w:tc>
      </w:tr>
      <w:tr>
        <w:trPr/>
        <w:tc>
          <w:tcPr>
            <w:tcW w:w="2948" w:type="dxa"/>
            <w:tcBorders>
              <w:bottom w:val="single" w:sz="18" w:space="0" w:color="000000"/>
            </w:tcBorders>
          </w:tcPr>
          <w:p>
            <w:pPr>
              <w:pStyle w:val="MessageHead"/>
              <w:snapToGrid w:val="false"/>
              <w:spacing w:before="60" w:after="120"/>
              <w:rPr/>
            </w:pPr>
            <w:r>
              <w:rPr/>
            </w:r>
          </w:p>
        </w:tc>
        <w:tc>
          <w:tcPr>
            <w:tcW w:w="6407" w:type="dxa"/>
            <w:tcBorders>
              <w:bottom w:val="single" w:sz="18" w:space="0" w:color="000000"/>
            </w:tcBorders>
          </w:tcPr>
          <w:p>
            <w:pPr>
              <w:pStyle w:val="Normal"/>
              <w:snapToGrid w:val="false"/>
              <w:spacing w:before="60" w:after="120"/>
              <w:rPr>
                <w:b/>
              </w:rPr>
            </w:pPr>
            <w:r>
              <w:rPr>
                <w:b/>
              </w:rPr>
            </w:r>
          </w:p>
        </w:tc>
      </w:tr>
    </w:tbl>
    <w:p>
      <w:pPr>
        <w:pStyle w:val="section"/>
        <w:spacing w:before="0" w:after="0"/>
        <w:rPr>
          <w:rFonts w:ascii="Arial" w:hAnsi="Arial" w:cs="Arial"/>
        </w:rPr>
      </w:pPr>
      <w:r>
        <w:rPr>
          <w:rFonts w:cs="Arial" w:ascii="Arial" w:hAnsi="Arial"/>
        </w:rPr>
      </w:r>
    </w:p>
    <w:p>
      <w:pPr>
        <w:pStyle w:val="section"/>
        <w:spacing w:before="0" w:after="0"/>
        <w:rPr>
          <w:rFonts w:ascii="Arial" w:hAnsi="Arial" w:cs="Arial"/>
          <w:b/>
          <w:sz w:val="24"/>
        </w:rPr>
      </w:pPr>
      <w:r>
        <w:rPr>
          <w:rFonts w:cs="Arial" w:ascii="Arial" w:hAnsi="Arial"/>
          <w:b/>
          <w:sz w:val="24"/>
        </w:rPr>
        <w:t>Attendees:</w:t>
      </w:r>
    </w:p>
    <w:p>
      <w:pPr>
        <w:pStyle w:val="Normal"/>
        <w:rPr/>
      </w:pPr>
      <w:r>
        <w:rPr/>
        <w:t>Stephen Burns</w:t>
      </w:r>
    </w:p>
    <w:p>
      <w:pPr>
        <w:pStyle w:val="Normal"/>
        <w:rPr/>
      </w:pPr>
      <w:r>
        <w:rPr/>
        <w:t>John Ambler</w:t>
      </w:r>
    </w:p>
    <w:p>
      <w:pPr>
        <w:pStyle w:val="Normal"/>
        <w:rPr/>
      </w:pPr>
      <w:r>
        <w:rPr/>
        <w:t>Margaret Carson</w:t>
      </w:r>
    </w:p>
    <w:p>
      <w:pPr>
        <w:pStyle w:val="Normal"/>
        <w:rPr/>
      </w:pPr>
      <w:r>
        <w:rPr/>
        <w:t>Mike Grimes</w:t>
      </w:r>
    </w:p>
    <w:p>
      <w:pPr>
        <w:pStyle w:val="Normal"/>
        <w:rPr/>
      </w:pPr>
      <w:r>
        <w:rPr/>
        <w:t>Sarah Novosel</w:t>
      </w:r>
    </w:p>
    <w:p>
      <w:pPr>
        <w:pStyle w:val="Normal"/>
        <w:rPr/>
      </w:pPr>
      <w:r>
        <w:rPr/>
        <w:t>Thom Reichelderfer</w:t>
      </w:r>
    </w:p>
    <w:p>
      <w:pPr>
        <w:pStyle w:val="Normal"/>
        <w:rPr/>
      </w:pPr>
      <w:r>
        <w:rPr/>
      </w:r>
    </w:p>
    <w:p>
      <w:pPr>
        <w:pStyle w:val="Heading1"/>
        <w:numPr>
          <w:ilvl w:val="0"/>
          <w:numId w:val="2"/>
        </w:numPr>
        <w:ind w:hanging="0" w:start="0"/>
        <w:rPr>
          <w:sz w:val="24"/>
        </w:rPr>
      </w:pPr>
      <w:r>
        <w:rPr>
          <w:sz w:val="24"/>
        </w:rPr>
        <w:t>Introduction</w:t>
      </w:r>
    </w:p>
    <w:p>
      <w:pPr>
        <w:pStyle w:val="head1text"/>
        <w:rPr>
          <w:sz w:val="24"/>
        </w:rPr>
      </w:pPr>
      <w:r>
        <w:rPr>
          <w:sz w:val="24"/>
        </w:rPr>
      </w:r>
    </w:p>
    <w:p>
      <w:pPr>
        <w:pStyle w:val="head1text"/>
        <w:numPr>
          <w:ilvl w:val="0"/>
          <w:numId w:val="4"/>
        </w:numPr>
        <w:tabs>
          <w:tab w:val="clear" w:pos="720"/>
          <w:tab w:val="left" w:pos="587" w:leader="none"/>
        </w:tabs>
        <w:ind w:hanging="360" w:start="587" w:end="0"/>
        <w:rPr/>
      </w:pPr>
      <w:r>
        <w:rPr/>
        <w:t xml:space="preserve">NOD welcomed working group members </w:t>
      </w:r>
    </w:p>
    <w:p>
      <w:pPr>
        <w:pStyle w:val="head1text"/>
        <w:numPr>
          <w:ilvl w:val="0"/>
          <w:numId w:val="4"/>
        </w:numPr>
        <w:tabs>
          <w:tab w:val="clear" w:pos="720"/>
          <w:tab w:val="left" w:pos="587" w:leader="none"/>
        </w:tabs>
        <w:ind w:hanging="360" w:start="587" w:end="0"/>
        <w:rPr/>
      </w:pPr>
      <w:r>
        <w:rPr/>
        <w:t>Apologies – Philip Davies, Paul Kaufmann, Terry Thorn</w:t>
      </w:r>
    </w:p>
    <w:p>
      <w:pPr>
        <w:pStyle w:val="head1text"/>
        <w:numPr>
          <w:ilvl w:val="0"/>
          <w:numId w:val="4"/>
        </w:numPr>
        <w:tabs>
          <w:tab w:val="clear" w:pos="720"/>
          <w:tab w:val="left" w:pos="587" w:leader="none"/>
        </w:tabs>
        <w:ind w:hanging="360" w:start="587" w:end="0"/>
        <w:rPr/>
      </w:pPr>
      <w:r>
        <w:rPr/>
        <w:t>Sarah Novosel was appointed as Deputy Chairperson</w:t>
      </w:r>
    </w:p>
    <w:p>
      <w:pPr>
        <w:pStyle w:val="head1text"/>
        <w:rPr/>
      </w:pPr>
      <w:r>
        <w:rPr/>
      </w:r>
    </w:p>
    <w:p>
      <w:pPr>
        <w:pStyle w:val="Heading1"/>
        <w:numPr>
          <w:ilvl w:val="0"/>
          <w:numId w:val="2"/>
        </w:numPr>
        <w:ind w:hanging="0" w:start="0"/>
        <w:rPr>
          <w:sz w:val="24"/>
        </w:rPr>
      </w:pPr>
      <w:r>
        <w:rPr>
          <w:sz w:val="24"/>
        </w:rPr>
        <w:t>Purpose and objectives</w:t>
      </w:r>
    </w:p>
    <w:p>
      <w:pPr>
        <w:pStyle w:val="head1text"/>
        <w:ind w:start="227" w:end="0"/>
        <w:rPr>
          <w:sz w:val="24"/>
        </w:rPr>
      </w:pPr>
      <w:r>
        <w:rPr>
          <w:sz w:val="24"/>
        </w:rPr>
      </w:r>
    </w:p>
    <w:p>
      <w:pPr>
        <w:pStyle w:val="head1text"/>
        <w:numPr>
          <w:ilvl w:val="0"/>
          <w:numId w:val="3"/>
        </w:numPr>
        <w:tabs>
          <w:tab w:val="left" w:pos="720" w:leader="none"/>
        </w:tabs>
        <w:spacing w:before="0" w:after="120"/>
        <w:ind w:hanging="357" w:start="714" w:end="0"/>
        <w:rPr/>
      </w:pPr>
      <w:r>
        <w:rPr/>
        <w:t>Members discussed the ongoing purpose of the group, its objectives and measures of success.</w:t>
      </w:r>
    </w:p>
    <w:p>
      <w:pPr>
        <w:pStyle w:val="head1text"/>
        <w:numPr>
          <w:ilvl w:val="0"/>
          <w:numId w:val="3"/>
        </w:numPr>
        <w:tabs>
          <w:tab w:val="left" w:pos="720" w:leader="none"/>
        </w:tabs>
        <w:spacing w:before="0" w:after="120"/>
        <w:ind w:hanging="357" w:start="714" w:end="0"/>
        <w:rPr>
          <w:lang w:val="en-US"/>
        </w:rPr>
      </w:pPr>
      <w:r>
        <w:rPr/>
        <w:t>NOD stressed that the group must be commercially focused and proposed the following to promote discussion:</w:t>
      </w:r>
    </w:p>
    <w:p>
      <w:pPr>
        <w:pStyle w:val="head1text"/>
        <w:numPr>
          <w:ilvl w:val="0"/>
          <w:numId w:val="3"/>
        </w:numPr>
        <w:tabs>
          <w:tab w:val="clear" w:pos="720"/>
          <w:tab w:val="left" w:pos="1077" w:leader="none"/>
        </w:tabs>
        <w:spacing w:before="0" w:after="120"/>
        <w:ind w:hanging="357" w:start="1071" w:end="0"/>
        <w:rPr>
          <w:rFonts w:ascii="Helv;Arial" w:hAnsi="Helv;Arial" w:cs="Helv;Arial"/>
          <w:color w:val="000000"/>
          <w:sz w:val="20"/>
          <w:lang w:val="en-US"/>
        </w:rPr>
      </w:pPr>
      <w:r>
        <w:rPr>
          <w:b/>
          <w:bCs/>
          <w:lang w:val="en-US"/>
        </w:rPr>
        <w:t xml:space="preserve">Objective. </w:t>
      </w:r>
      <w:r>
        <w:rPr>
          <w:lang w:val="en-US"/>
        </w:rPr>
        <w:t>Enhance the effectiveness of Enron and the Public Affairs function through the exchange of information, ideas and experiences.</w:t>
      </w:r>
    </w:p>
    <w:p>
      <w:pPr>
        <w:pStyle w:val="head1text"/>
        <w:numPr>
          <w:ilvl w:val="0"/>
          <w:numId w:val="3"/>
        </w:numPr>
        <w:tabs>
          <w:tab w:val="clear" w:pos="720"/>
          <w:tab w:val="left" w:pos="1077" w:leader="none"/>
        </w:tabs>
        <w:spacing w:before="0" w:after="120"/>
        <w:ind w:hanging="357" w:start="1071" w:end="0"/>
        <w:rPr>
          <w:rFonts w:cs="Arial"/>
        </w:rPr>
      </w:pPr>
      <w:r>
        <w:rPr>
          <w:rFonts w:cs="Arial"/>
          <w:b/>
          <w:bCs/>
          <w:color w:val="000000"/>
          <w:lang w:val="en-US"/>
        </w:rPr>
        <w:t>Purpose.</w:t>
      </w:r>
      <w:r>
        <w:rPr>
          <w:rFonts w:cs="Arial"/>
          <w:color w:val="000000"/>
          <w:lang w:val="en-US"/>
        </w:rPr>
        <w:t xml:space="preserve"> Bring together the operational experience in the Public Affairs group gained in newly competitive markets with a view to addressing issues that arise from time to time in connection with the Japan effort and through the practical experience of members, identify potential roadblocks, preferred approaches, tactics employed by incumbents and Governments, and the preferred public image. A two way focus is required - bring experiences in offshore markets to bear in Japan and visa versa.</w:t>
      </w:r>
    </w:p>
    <w:p>
      <w:pPr>
        <w:pStyle w:val="head1text"/>
        <w:spacing w:before="0" w:after="120"/>
        <w:ind w:start="714" w:end="0"/>
        <w:rPr>
          <w:rFonts w:eastAsia="Arial" w:cs="Arial"/>
        </w:rPr>
      </w:pPr>
      <w:r>
        <w:rPr>
          <w:rFonts w:eastAsia="Arial" w:cs="Arial"/>
        </w:rPr>
        <w:t xml:space="preserve"> </w:t>
      </w:r>
    </w:p>
    <w:p>
      <w:pPr>
        <w:pStyle w:val="head1text"/>
        <w:rPr>
          <w:b/>
          <w:i/>
          <w:i/>
        </w:rPr>
      </w:pPr>
      <w:r>
        <w:rPr>
          <w:b/>
          <w:i/>
        </w:rPr>
        <w:t>Action:  Members to consider what the purpose, objectives and measures of success of the group should be. Members agreed to respond in writing to NOD prior to the next meeting.</w:t>
      </w:r>
    </w:p>
    <w:p>
      <w:pPr>
        <w:pStyle w:val="head1text"/>
        <w:rPr>
          <w:b/>
          <w:i/>
          <w:i/>
        </w:rPr>
      </w:pPr>
      <w:r>
        <w:rPr>
          <w:b/>
          <w:i/>
        </w:rPr>
      </w:r>
    </w:p>
    <w:p>
      <w:pPr>
        <w:pStyle w:val="head1text"/>
        <w:rPr>
          <w:b/>
          <w:i/>
          <w:i/>
        </w:rPr>
      </w:pPr>
      <w:r>
        <w:rPr>
          <w:b/>
          <w:i/>
        </w:rPr>
      </w:r>
    </w:p>
    <w:p>
      <w:pPr>
        <w:pStyle w:val="head1text"/>
        <w:rPr>
          <w:b/>
          <w:i/>
          <w:i/>
        </w:rPr>
      </w:pPr>
      <w:r>
        <w:rPr>
          <w:b/>
          <w:i/>
        </w:rPr>
      </w:r>
    </w:p>
    <w:p>
      <w:pPr>
        <w:pStyle w:val="Heading1"/>
        <w:numPr>
          <w:ilvl w:val="0"/>
          <w:numId w:val="2"/>
        </w:numPr>
        <w:ind w:hanging="0" w:start="0"/>
        <w:rPr>
          <w:sz w:val="24"/>
        </w:rPr>
      </w:pPr>
      <w:r>
        <w:rPr>
          <w:sz w:val="24"/>
        </w:rPr>
        <w:t>Japan regulatory update</w:t>
      </w:r>
    </w:p>
    <w:p>
      <w:pPr>
        <w:pStyle w:val="head1text"/>
        <w:ind w:start="227" w:end="0"/>
        <w:rPr>
          <w:sz w:val="24"/>
        </w:rPr>
      </w:pPr>
      <w:r>
        <w:rPr>
          <w:sz w:val="24"/>
        </w:rPr>
      </w:r>
    </w:p>
    <w:p>
      <w:pPr>
        <w:pStyle w:val="head1text"/>
        <w:spacing w:before="0" w:after="120"/>
        <w:ind w:start="357" w:end="0"/>
        <w:rPr/>
      </w:pPr>
      <w:r>
        <w:rPr/>
        <w:t>NOD provided members with an update on the regulatory and general office situation in Japan.</w:t>
      </w:r>
    </w:p>
    <w:p>
      <w:pPr>
        <w:pStyle w:val="head1text"/>
        <w:spacing w:before="0" w:after="120"/>
        <w:ind w:start="357" w:end="0"/>
        <w:rPr>
          <w:lang w:val="en-US"/>
        </w:rPr>
      </w:pPr>
      <w:r>
        <w:rPr>
          <w:lang w:val="en-US"/>
        </w:rPr>
      </w:r>
    </w:p>
    <w:p>
      <w:pPr>
        <w:pStyle w:val="head1text"/>
        <w:ind w:start="360" w:end="0"/>
        <w:rPr>
          <w:b/>
          <w:i/>
          <w:i/>
        </w:rPr>
      </w:pPr>
      <w:r>
        <w:rPr>
          <w:b/>
          <w:i/>
        </w:rPr>
        <w:t>Action:  Continue with updates on a regular basis.</w:t>
      </w:r>
    </w:p>
    <w:p>
      <w:pPr>
        <w:pStyle w:val="head1text"/>
        <w:ind w:start="360" w:end="0"/>
        <w:rPr>
          <w:b/>
          <w:i/>
          <w:i/>
        </w:rPr>
      </w:pPr>
      <w:r>
        <w:rPr>
          <w:b/>
          <w:i/>
        </w:rPr>
      </w:r>
    </w:p>
    <w:p>
      <w:pPr>
        <w:pStyle w:val="Heading1"/>
        <w:numPr>
          <w:ilvl w:val="0"/>
          <w:numId w:val="2"/>
        </w:numPr>
        <w:ind w:hanging="0" w:start="0"/>
        <w:rPr>
          <w:sz w:val="24"/>
        </w:rPr>
      </w:pPr>
      <w:r>
        <w:rPr>
          <w:sz w:val="24"/>
        </w:rPr>
        <w:t>Other Business</w:t>
      </w:r>
    </w:p>
    <w:p>
      <w:pPr>
        <w:pStyle w:val="head1text"/>
        <w:ind w:start="227" w:end="0"/>
        <w:rPr>
          <w:sz w:val="24"/>
        </w:rPr>
      </w:pPr>
      <w:r>
        <w:rPr>
          <w:sz w:val="24"/>
        </w:rPr>
      </w:r>
    </w:p>
    <w:p>
      <w:pPr>
        <w:pStyle w:val="head1text"/>
        <w:numPr>
          <w:ilvl w:val="0"/>
          <w:numId w:val="3"/>
        </w:numPr>
        <w:tabs>
          <w:tab w:val="left" w:pos="720" w:leader="none"/>
        </w:tabs>
        <w:spacing w:before="0" w:after="120"/>
        <w:ind w:hanging="357" w:start="714" w:end="0"/>
        <w:rPr>
          <w:lang w:val="en-US"/>
        </w:rPr>
      </w:pPr>
      <w:r>
        <w:rPr/>
        <w:t>Terms and Usage – John Ambler lead a discussion on preparation of a glossary of industry terms and a preparation of a list of terminology that may be sensitive.</w:t>
      </w:r>
    </w:p>
    <w:p>
      <w:pPr>
        <w:pStyle w:val="head1text"/>
        <w:spacing w:before="0" w:after="120"/>
        <w:ind w:start="357" w:end="0"/>
        <w:rPr>
          <w:lang w:val="en-US"/>
        </w:rPr>
      </w:pPr>
      <w:r>
        <w:rPr>
          <w:rFonts w:eastAsia="Arial"/>
        </w:rPr>
        <w:t xml:space="preserve"> </w:t>
      </w:r>
    </w:p>
    <w:p>
      <w:pPr>
        <w:pStyle w:val="head1text"/>
        <w:rPr>
          <w:b/>
          <w:i/>
          <w:i/>
        </w:rPr>
      </w:pPr>
      <w:r>
        <w:rPr>
          <w:b/>
          <w:i/>
        </w:rPr>
        <w:t>Action:  Mike Grimes to prepare glossary of industry terms. Others to provide John with thoughts on sensitive terminology.</w:t>
      </w:r>
    </w:p>
    <w:p>
      <w:pPr>
        <w:pStyle w:val="head1text"/>
        <w:rPr>
          <w:lang w:val="en-US"/>
        </w:rPr>
      </w:pPr>
      <w:r>
        <w:rPr>
          <w:rFonts w:eastAsia="Arial"/>
          <w:b/>
          <w:i/>
        </w:rPr>
        <w:t xml:space="preserve"> </w:t>
      </w:r>
    </w:p>
    <w:p>
      <w:pPr>
        <w:pStyle w:val="head1text"/>
        <w:numPr>
          <w:ilvl w:val="0"/>
          <w:numId w:val="3"/>
        </w:numPr>
        <w:tabs>
          <w:tab w:val="left" w:pos="720" w:leader="none"/>
        </w:tabs>
        <w:spacing w:before="0" w:after="120"/>
        <w:ind w:hanging="357" w:start="714" w:end="0"/>
        <w:rPr>
          <w:lang w:val="en-US"/>
        </w:rPr>
      </w:pPr>
      <w:r>
        <w:rPr/>
        <w:t>Comparative Analysis- Margaret Carson indicated that she had available information on market restructuring in gas and electricity that may be useful to support efforts in Japan.</w:t>
      </w:r>
    </w:p>
    <w:p>
      <w:pPr>
        <w:pStyle w:val="head1text"/>
        <w:spacing w:before="0" w:after="120"/>
        <w:ind w:start="357" w:end="0"/>
        <w:rPr>
          <w:lang w:val="en-US"/>
        </w:rPr>
      </w:pPr>
      <w:r>
        <w:rPr>
          <w:rFonts w:eastAsia="Arial"/>
        </w:rPr>
        <w:t xml:space="preserve"> </w:t>
      </w:r>
    </w:p>
    <w:p>
      <w:pPr>
        <w:pStyle w:val="head1text"/>
        <w:rPr>
          <w:b/>
          <w:i/>
          <w:i/>
        </w:rPr>
      </w:pPr>
      <w:r>
        <w:rPr>
          <w:b/>
          <w:i/>
        </w:rPr>
        <w:t xml:space="preserve">Action:  Margaret to provide copies of material on market restructuring prepared for the S American market. </w:t>
      </w:r>
    </w:p>
    <w:p>
      <w:pPr>
        <w:pStyle w:val="head1text"/>
        <w:rPr>
          <w:b/>
          <w:i/>
          <w:i/>
        </w:rPr>
      </w:pPr>
      <w:r>
        <w:rPr>
          <w:b/>
          <w:i/>
        </w:rPr>
      </w:r>
    </w:p>
    <w:p>
      <w:pPr>
        <w:pStyle w:val="Heading1"/>
        <w:numPr>
          <w:ilvl w:val="0"/>
          <w:numId w:val="2"/>
        </w:numPr>
        <w:ind w:hanging="0" w:start="0"/>
        <w:rPr>
          <w:sz w:val="24"/>
        </w:rPr>
      </w:pPr>
      <w:r>
        <w:rPr>
          <w:sz w:val="24"/>
        </w:rPr>
        <w:t>Future Meetings</w:t>
      </w:r>
    </w:p>
    <w:p>
      <w:pPr>
        <w:pStyle w:val="head1text"/>
        <w:ind w:start="227" w:end="0"/>
        <w:rPr>
          <w:sz w:val="24"/>
        </w:rPr>
      </w:pPr>
      <w:r>
        <w:rPr>
          <w:sz w:val="24"/>
        </w:rPr>
      </w:r>
    </w:p>
    <w:p>
      <w:pPr>
        <w:pStyle w:val="head1text"/>
        <w:spacing w:before="0" w:after="120"/>
        <w:ind w:start="357" w:end="0"/>
        <w:rPr/>
      </w:pPr>
      <w:r>
        <w:rPr/>
        <w:t>Members agreed to hold meetings monthly at a similar time to the first meeting.</w:t>
      </w:r>
    </w:p>
    <w:p>
      <w:pPr>
        <w:pStyle w:val="head1text"/>
        <w:spacing w:before="0" w:after="120"/>
        <w:ind w:start="357" w:end="0"/>
        <w:rPr>
          <w:lang w:val="en-US"/>
        </w:rPr>
      </w:pPr>
      <w:r>
        <w:rPr>
          <w:lang w:val="en-US"/>
        </w:rPr>
      </w:r>
    </w:p>
    <w:p>
      <w:pPr>
        <w:pStyle w:val="head1text"/>
        <w:ind w:start="360" w:end="0"/>
        <w:rPr>
          <w:b/>
          <w:i/>
          <w:i/>
        </w:rPr>
      </w:pPr>
      <w:r>
        <w:rPr>
          <w:b/>
          <w:i/>
        </w:rPr>
        <w:t>Action:  Next meeting tentatively scheduled for 17 March (Tokyo) 16 March (Houston)</w:t>
      </w:r>
    </w:p>
    <w:sectPr>
      <w:headerReference w:type="default" r:id="rId2"/>
      <w:headerReference w:type="first" r:id="rId3"/>
      <w:footerReference w:type="default" r:id="rId4"/>
      <w:footerReference w:type="first" r:id="rId5"/>
      <w:type w:val="nextPage"/>
      <w:pgSz w:w="11906" w:h="16838"/>
      <w:pgMar w:left="1418" w:right="1134" w:gutter="0" w:header="720" w:top="1134" w:footer="72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Helv">
    <w:altName w:val="Arial"/>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/mnt/main-storage/datasets/enron-docs/doc/Minutes18.2.doc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/mnt/main-storage/datasets/enron-docs/doc/Minutes18.2.doc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12000" fillcolor="#b2b2b2" stroked="f" o:allowincell="f" style="position:absolute;margin-left:123.5pt;margin-top:173.35pt;width:217.45pt;height:254.75pt;mso-wrap-style:none;v-text-anchor:middle" type="_x0000_t172">
          <v:path textpathok="t"/>
          <v:textpath on="t" fitshape="t" string="Draft" style="font-family:&quot;Arial Black&quot;;font-size:80pt" trim="t"/>
          <v:fill o:detectmouseclick="t" type="solid" color2="#4d4d4d" opacity="0.5"/>
          <v:stroke color="#3465a4" joinstyle="round" endcap="flat"/>
          <w10:wrap type="none"/>
        </v:shape>
      </w:pic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1" distT="0" distB="0" distL="114935" distR="114935" simplePos="0" locked="0" layoutInCell="1" allowOverlap="1" relativeHeight="3">
              <wp:simplePos x="0" y="0"/>
              <wp:positionH relativeFrom="column">
                <wp:posOffset>1202690</wp:posOffset>
              </wp:positionH>
              <wp:positionV relativeFrom="paragraph">
                <wp:posOffset>1561465</wp:posOffset>
              </wp:positionV>
              <wp:extent cx="3840480" cy="914400"/>
              <wp:effectExtent l="0" t="0" r="0" b="0"/>
              <wp:wrapNone/>
              <wp:docPr id="2" name="Frame2"/>
              <a:graphic xmlns:a="http://schemas.openxmlformats.org/drawingml/2006/main">
                <a:graphicData uri="http://schemas.microsoft.com/office/word/2010/wordprocessingShape">
                  <wps:wsp>
                    <wps:cNvSpPr txBox="1"/>
                    <wps:spPr>
                      <a:xfrm>
                        <a:off x="0" y="0"/>
                        <a:ext cx="3840480" cy="9144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72pt;mso-wrap-distance-left:9.05pt;mso-wrap-distance-right:9.05pt;mso-wrap-distance-top:0pt;mso-wrap-distance-bottom:0pt;margin-top:122.95pt;mso-position-vertical-relative:text;margin-left:94.7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
              <wp:simplePos x="0" y="0"/>
              <wp:positionH relativeFrom="column">
                <wp:posOffset>1294130</wp:posOffset>
              </wp:positionH>
              <wp:positionV relativeFrom="paragraph">
                <wp:posOffset>1285240</wp:posOffset>
              </wp:positionV>
              <wp:extent cx="3840480" cy="1371600"/>
              <wp:effectExtent l="0" t="0" r="0" b="0"/>
              <wp:wrapNone/>
              <wp:docPr id="3" name="Frame1"/>
              <a:graphic xmlns:a="http://schemas.openxmlformats.org/drawingml/2006/main">
                <a:graphicData uri="http://schemas.microsoft.com/office/word/2010/wordprocessingShape">
                  <wps:wsp>
                    <wps:cNvSpPr txBox="1"/>
                    <wps:spPr>
                      <a:xfrm>
                        <a:off x="0" y="0"/>
                        <a:ext cx="3840480" cy="13716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108pt;mso-wrap-distance-left:9.05pt;mso-wrap-distance-right:9.05pt;mso-wrap-distance-top:0pt;mso-wrap-distance-bottom:0pt;margin-top:101.2pt;mso-position-vertical-relative:text;margin-left:101.9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27"/>
        </w:tabs>
        <w:ind w:start="227" w:hanging="227"/>
      </w:pPr>
    </w:lvl>
    <w:lvl w:ilvl="1">
      <w:start w:val="1"/>
      <w:numFmt w:val="decimal"/>
      <w:lvlText w:val="%1.%2."/>
      <w:lvlJc w:val="start"/>
      <w:pPr>
        <w:tabs>
          <w:tab w:val="num" w:pos="397"/>
        </w:tabs>
        <w:ind w:start="624" w:hanging="397"/>
      </w:pPr>
    </w:lvl>
    <w:lvl w:ilvl="2">
      <w:start w:val="1"/>
      <w:numFmt w:val="decimal"/>
      <w:lvlText w:val="%1.%2.%3."/>
      <w:lvlJc w:val="start"/>
      <w:pPr>
        <w:tabs>
          <w:tab w:val="num" w:pos="567"/>
        </w:tabs>
        <w:ind w:start="1191" w:hanging="567"/>
      </w:pPr>
    </w:lvl>
    <w:lvl w:ilvl="3">
      <w:start w:val="1"/>
      <w:numFmt w:val="decimal"/>
      <w:lvlText w:val="%1.%2.%3.%4."/>
      <w:lvlJc w:val="start"/>
      <w:pPr>
        <w:tabs>
          <w:tab w:val="num" w:pos="708"/>
        </w:tabs>
        <w:ind w:start="1899" w:hanging="708"/>
      </w:pPr>
    </w:lvl>
    <w:lvl w:ilvl="4">
      <w:start w:val="1"/>
      <w:numFmt w:val="decimal"/>
      <w:lvlText w:val="%1.%2.%3.%4.%5."/>
      <w:lvlJc w:val="start"/>
      <w:pPr>
        <w:tabs>
          <w:tab w:val="num" w:pos="708"/>
        </w:tabs>
        <w:ind w:start="2607" w:hanging="708"/>
      </w:pPr>
    </w:lvl>
    <w:lvl w:ilvl="5">
      <w:start w:val="1"/>
      <w:numFmt w:val="decimal"/>
      <w:lvlText w:val="%1.%2.%3.%4.%5.%6."/>
      <w:lvlJc w:val="start"/>
      <w:pPr>
        <w:tabs>
          <w:tab w:val="num" w:pos="708"/>
        </w:tabs>
        <w:ind w:start="3315" w:hanging="708"/>
      </w:pPr>
    </w:lvl>
    <w:lvl w:ilvl="6">
      <w:start w:val="1"/>
      <w:numFmt w:val="decimal"/>
      <w:lvlText w:val="%1.%2.%3.%4.%5.%6.%7."/>
      <w:lvlJc w:val="start"/>
      <w:pPr>
        <w:tabs>
          <w:tab w:val="num" w:pos="708"/>
        </w:tabs>
        <w:ind w:start="4023" w:hanging="708"/>
      </w:pPr>
    </w:lvl>
    <w:lvl w:ilvl="7">
      <w:start w:val="1"/>
      <w:numFmt w:val="decimal"/>
      <w:lvlText w:val="%1.%2.%3.%4.%5.%6.%7.%8."/>
      <w:lvlJc w:val="start"/>
      <w:pPr>
        <w:tabs>
          <w:tab w:val="num" w:pos="708"/>
        </w:tabs>
        <w:ind w:start="4731" w:hanging="708"/>
      </w:pPr>
    </w:lvl>
    <w:lvl w:ilvl="8">
      <w:start w:val="1"/>
      <w:numFmt w:val="decimal"/>
      <w:lvlText w:val="%1.%2.%3.%4.%5.%6.%7.%8.%9."/>
      <w:lvlJc w:val="start"/>
      <w:pPr>
        <w:tabs>
          <w:tab w:val="num" w:pos="708"/>
        </w:tabs>
        <w:ind w:start="5439" w:hanging="708"/>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AU" w:bidi="ar-SA" w:eastAsia="zh-CN"/>
    </w:rPr>
  </w:style>
  <w:style w:type="paragraph" w:styleId="Heading1">
    <w:name w:val="heading 1"/>
    <w:basedOn w:val="Normal"/>
    <w:next w:val="head1text"/>
    <w:qFormat/>
    <w:pPr>
      <w:keepNext w:val="true"/>
      <w:numPr>
        <w:ilvl w:val="0"/>
        <w:numId w:val="2"/>
      </w:numPr>
      <w:spacing w:before="240" w:after="0"/>
      <w:outlineLvl w:val="0"/>
    </w:pPr>
    <w:rPr>
      <w:b/>
      <w:kern w:val="2"/>
    </w:rPr>
  </w:style>
  <w:style w:type="paragraph" w:styleId="Heading2">
    <w:name w:val="heading 2"/>
    <w:basedOn w:val="Normal"/>
    <w:next w:val="head2text"/>
    <w:qFormat/>
    <w:pPr>
      <w:keepNext w:val="true"/>
      <w:numPr>
        <w:ilvl w:val="0"/>
        <w:numId w:val="2"/>
      </w:numPr>
      <w:spacing w:before="240" w:after="0"/>
      <w:outlineLvl w:val="1"/>
    </w:pPr>
    <w:rPr>
      <w:b/>
      <w:lang w:val="en-AU"/>
    </w:rPr>
  </w:style>
  <w:style w:type="paragraph" w:styleId="Heading3">
    <w:name w:val="heading 3"/>
    <w:basedOn w:val="Normal"/>
    <w:next w:val="Head3text"/>
    <w:qFormat/>
    <w:pPr>
      <w:keepNext w:val="true"/>
      <w:numPr>
        <w:ilvl w:val="0"/>
        <w:numId w:val="2"/>
      </w:numPr>
      <w:spacing w:before="240" w:after="0"/>
      <w:outlineLvl w:val="2"/>
    </w:pPr>
    <w:rPr>
      <w:b/>
      <w:lang w:val="en-AU"/>
    </w:rPr>
  </w:style>
  <w:style w:type="paragraph" w:styleId="Heading4">
    <w:name w:val="heading 4"/>
    <w:basedOn w:val="Normal"/>
    <w:next w:val="Normal"/>
    <w:qFormat/>
    <w:pPr>
      <w:keepNext w:val="true"/>
      <w:numPr>
        <w:ilvl w:val="0"/>
        <w:numId w:val="2"/>
      </w:numPr>
      <w:outlineLvl w:val="3"/>
    </w:pPr>
    <w:rPr/>
  </w:style>
  <w:style w:type="paragraph" w:styleId="Heading5">
    <w:name w:val="heading 5"/>
    <w:basedOn w:val="Normal"/>
    <w:next w:val="Normal"/>
    <w:qFormat/>
    <w:pPr>
      <w:numPr>
        <w:ilvl w:val="0"/>
        <w:numId w:val="2"/>
      </w:numPr>
      <w:spacing w:before="240" w:after="60"/>
      <w:outlineLvl w:val="4"/>
    </w:pPr>
    <w:rPr/>
  </w:style>
  <w:style w:type="paragraph" w:styleId="Heading6">
    <w:name w:val="heading 6"/>
    <w:basedOn w:val="Normal"/>
    <w:next w:val="Normal"/>
    <w:qFormat/>
    <w:pPr>
      <w:numPr>
        <w:ilvl w:val="0"/>
        <w:numId w:val="2"/>
      </w:numPr>
      <w:spacing w:before="240" w:after="60"/>
      <w:outlineLvl w:val="5"/>
    </w:pPr>
    <w:rPr>
      <w:rFonts w:ascii="Times New Roman" w:hAnsi="Times New Roman" w:cs="Times New Roman"/>
      <w:i/>
    </w:rPr>
  </w:style>
  <w:style w:type="paragraph" w:styleId="Heading7">
    <w:name w:val="heading 7"/>
    <w:basedOn w:val="Normal"/>
    <w:next w:val="Normal"/>
    <w:qFormat/>
    <w:pPr>
      <w:numPr>
        <w:ilvl w:val="0"/>
        <w:numId w:val="2"/>
      </w:numPr>
      <w:spacing w:before="240" w:after="60"/>
      <w:outlineLvl w:val="6"/>
    </w:pPr>
    <w:rPr>
      <w:sz w:val="20"/>
    </w:rPr>
  </w:style>
  <w:style w:type="paragraph" w:styleId="Heading8">
    <w:name w:val="heading 8"/>
    <w:basedOn w:val="Normal"/>
    <w:next w:val="Normal"/>
    <w:qFormat/>
    <w:pPr>
      <w:numPr>
        <w:ilvl w:val="0"/>
        <w:numId w:val="2"/>
      </w:numPr>
      <w:spacing w:before="240" w:after="60"/>
      <w:outlineLvl w:val="7"/>
    </w:pPr>
    <w:rPr>
      <w:i/>
      <w:sz w:val="20"/>
    </w:rPr>
  </w:style>
  <w:style w:type="paragraph" w:styleId="Heading9">
    <w:name w:val="heading 9"/>
    <w:basedOn w:val="Normal"/>
    <w:next w:val="Normal"/>
    <w:qFormat/>
    <w:pPr>
      <w:numPr>
        <w:ilvl w:val="0"/>
        <w:numId w:val="2"/>
      </w:numPr>
      <w:spacing w:before="240" w:after="60"/>
      <w:outlineLvl w:val="8"/>
    </w:pPr>
    <w:rPr>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sz w:val="20"/>
    </w:rPr>
  </w:style>
  <w:style w:type="character" w:styleId="WW8Num11z0">
    <w:name w:val="WW8Num11z0"/>
    <w:qFormat/>
    <w:rPr>
      <w:rFonts w:ascii="Symbol" w:hAnsi="Symbol" w:cs="Symbol"/>
      <w:color w:val="000000"/>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paragraph" w:styleId="Heading">
    <w:name w:val="Heading"/>
    <w:basedOn w:val="Heading1"/>
    <w:next w:val="BodyText"/>
    <w:qFormat/>
    <w:pPr>
      <w:numPr>
        <w:ilvl w:val="0"/>
        <w:numId w:val="0"/>
      </w:numPr>
      <w:spacing w:before="240" w:after="240"/>
      <w:ind w:hanging="227" w:start="227" w:end="0"/>
      <w:jc w:val="center"/>
      <w:outlineLvl w:val="9"/>
    </w:pPr>
    <w:rPr>
      <w:rFonts w:ascii="Arial Black" w:hAnsi="Arial Black" w:cs="Arial Black"/>
      <w:b w:val="fals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rFonts w:ascii="Arial" w:hAnsi="Arial" w:cs="Arial"/>
    </w:rPr>
  </w:style>
  <w:style w:type="paragraph" w:styleId="items">
    <w:name w:val="items"/>
    <w:basedOn w:val="Normal"/>
    <w:qFormat/>
    <w:pPr>
      <w:numPr>
        <w:ilvl w:val="0"/>
        <w:numId w:val="5"/>
      </w:numPr>
      <w:spacing w:before="60" w:after="60"/>
      <w:ind w:hanging="284" w:start="284" w:end="0"/>
    </w:pPr>
    <w:rPr>
      <w:rFonts w:ascii="Arial" w:hAnsi="Arial" w:cs="Arial"/>
    </w:rPr>
  </w:style>
  <w:style w:type="paragraph" w:styleId="section">
    <w:name w:val="section"/>
    <w:basedOn w:val="Normal"/>
    <w:next w:val="minute"/>
    <w:qFormat/>
    <w:pPr>
      <w:spacing w:before="120" w:after="120"/>
    </w:pPr>
    <w:rPr>
      <w:rFonts w:ascii="Arial Black" w:hAnsi="Arial Black" w:cs="Arial Black"/>
      <w:sz w:val="22"/>
    </w:rPr>
  </w:style>
  <w:style w:type="paragraph" w:styleId="Footer">
    <w:name w:val="footer"/>
    <w:basedOn w:val="Normal"/>
    <w:pPr>
      <w:tabs>
        <w:tab w:val="clear" w:pos="720"/>
        <w:tab w:val="center" w:pos="4153" w:leader="none"/>
        <w:tab w:val="right" w:pos="8306" w:leader="none"/>
      </w:tabs>
    </w:pPr>
    <w:rPr>
      <w:rFonts w:ascii="Arial" w:hAnsi="Arial" w:cs="Arial"/>
      <w:sz w:val="10"/>
    </w:rPr>
  </w:style>
  <w:style w:type="paragraph" w:styleId="minute">
    <w:name w:val="minute"/>
    <w:basedOn w:val="Normal"/>
    <w:next w:val="minutetext"/>
    <w:qFormat/>
    <w:pPr>
      <w:spacing w:before="60" w:after="60"/>
      <w:ind w:hanging="283" w:start="1003" w:end="0"/>
    </w:pPr>
    <w:rPr>
      <w:rFonts w:ascii="Arial" w:hAnsi="Arial" w:cs="Arial"/>
      <w:b/>
      <w:sz w:val="22"/>
    </w:rPr>
  </w:style>
  <w:style w:type="paragraph" w:styleId="minutetext">
    <w:name w:val="minute text"/>
    <w:basedOn w:val="Normal"/>
    <w:next w:val="minute"/>
    <w:qFormat/>
    <w:pPr>
      <w:ind w:hanging="0" w:start="1021" w:end="0"/>
    </w:pPr>
    <w:rPr>
      <w:rFonts w:ascii="Arial" w:hAnsi="Arial" w:cs="Arial"/>
      <w:sz w:val="22"/>
    </w:rPr>
  </w:style>
  <w:style w:type="paragraph" w:styleId="DocumentLabel">
    <w:name w:val="Document Label"/>
    <w:basedOn w:val="Normal"/>
    <w:qFormat/>
    <w:pPr>
      <w:spacing w:before="600" w:after="0"/>
      <w:jc w:val="center"/>
    </w:pPr>
    <w:rPr>
      <w:rFonts w:ascii="Arial Black" w:hAnsi="Arial Black" w:cs="Arial Black"/>
      <w:sz w:val="36"/>
    </w:rPr>
  </w:style>
  <w:style w:type="paragraph" w:styleId="date">
    <w:name w:val="date"/>
    <w:basedOn w:val="Footer"/>
    <w:qFormat/>
    <w:pPr>
      <w:tabs>
        <w:tab w:val="clear" w:pos="4153"/>
        <w:tab w:val="clear" w:pos="8306"/>
        <w:tab w:val="center" w:pos="4820" w:leader="none"/>
        <w:tab w:val="left" w:pos="8505" w:leader="none"/>
      </w:tabs>
    </w:pPr>
    <w:rPr>
      <w:sz w:val="20"/>
    </w:rPr>
  </w:style>
  <w:style w:type="paragraph" w:styleId="BodyTextHeading">
    <w:name w:val="Body Text Heading"/>
    <w:basedOn w:val="Normal"/>
    <w:qFormat/>
    <w:pPr>
      <w:spacing w:before="120" w:after="120"/>
      <w:jc w:val="center"/>
    </w:pPr>
    <w:rPr>
      <w:rFonts w:ascii="Arial" w:hAnsi="Arial" w:cs="Arial"/>
      <w:b/>
      <w:sz w:val="32"/>
      <w:lang w:val="en-CA" w:eastAsia="en-CA"/>
    </w:rPr>
  </w:style>
  <w:style w:type="paragraph" w:styleId="MessageHead">
    <w:name w:val="Message Head"/>
    <w:basedOn w:val="Normal"/>
    <w:qFormat/>
    <w:pPr>
      <w:spacing w:before="60" w:after="60"/>
    </w:pPr>
    <w:rPr>
      <w:rFonts w:ascii="Arial" w:hAnsi="Arial" w:cs="Arial"/>
      <w:b/>
      <w:sz w:val="22"/>
    </w:rPr>
  </w:style>
  <w:style w:type="paragraph" w:styleId="head1text">
    <w:name w:val="head 1 text"/>
    <w:basedOn w:val="Normal"/>
    <w:qFormat/>
    <w:pPr/>
    <w:rPr>
      <w:lang w:val="en-AU"/>
    </w:rPr>
  </w:style>
  <w:style w:type="paragraph" w:styleId="head2text">
    <w:name w:val="head 2 text"/>
    <w:basedOn w:val="Normal"/>
    <w:qFormat/>
    <w:pPr>
      <w:ind w:hanging="340" w:start="680" w:end="0"/>
    </w:pPr>
    <w:rPr>
      <w:lang w:val="en-AU"/>
    </w:rPr>
  </w:style>
  <w:style w:type="paragraph" w:styleId="Head3text">
    <w:name w:val="Head 3 text"/>
    <w:basedOn w:val="Heading3"/>
    <w:qFormat/>
    <w:pPr>
      <w:numPr>
        <w:ilvl w:val="0"/>
        <w:numId w:val="2"/>
      </w:numPr>
      <w:spacing w:before="0" w:after="0"/>
      <w:outlineLvl w:val="9"/>
    </w:pPr>
    <w:rPr>
      <w:b w:val="fals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Minutes of Meeting.dot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2000-02-25T22:36:00Z</dcterms:created>
  <dc:creator>Administrator</dc:creator>
  <dc:description/>
  <dc:language>en-CA</dc:language>
  <cp:lastModifiedBy>EI</cp:lastModifiedBy>
  <cp:lastPrinted>1999-11-29T16:03:00Z</cp:lastPrinted>
  <dcterms:modified xsi:type="dcterms:W3CDTF">2000-02-26T00:09:00Z</dcterms:modified>
  <cp:revision>11</cp:revision>
  <dc:subject/>
  <dc:title> </dc:title>
</cp:coreProperties>
</file>