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0"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pPr>
            <w:r>
              <w:rPr>
                <w:b/>
              </w:rPr>
              <w:t>Attorney</w:t>
            </w:r>
            <w:r>
              <w:rPr/>
              <w:t xml:space="preserve"> </w:t>
            </w:r>
            <w:r>
              <w:rPr>
                <w:b/>
              </w:rPr>
              <w:t>General</w:t>
            </w:r>
            <w:r>
              <w:rPr/>
              <w:t xml:space="preserve"> Mike Hatch will oppose energy deregulation </w:t>
            </w:r>
          </w:p>
        </w:tc>
      </w:tr>
      <w:tr>
        <w:trPr/>
        <w:tc>
          <w:tcPr>
            <w:tcW w:w="7425" w:type="dxa"/>
            <w:tcBorders/>
            <w:vAlign w:val="center"/>
          </w:tcPr>
          <w:p>
            <w:pPr>
              <w:pStyle w:val="Normal"/>
              <w:rPr/>
            </w:pPr>
            <w:r>
              <w:rPr/>
              <w:t xml:space="preserve">By ASHLEY H. GRANT </w:t>
            </w:r>
          </w:p>
        </w:tc>
      </w:tr>
      <w:tr>
        <w:trPr/>
        <w:tc>
          <w:tcPr>
            <w:tcW w:w="7425" w:type="dxa"/>
            <w:tcBorders/>
            <w:vAlign w:val="center"/>
          </w:tcPr>
          <w:p>
            <w:pPr>
              <w:pStyle w:val="Normal"/>
              <w:rPr/>
            </w:pPr>
            <w:r>
              <w:rPr/>
              <w:t xml:space="preserve">Associated Press Writer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08/11/2000 </w:t>
            </w:r>
          </w:p>
        </w:tc>
      </w:tr>
      <w:tr>
        <w:trPr/>
        <w:tc>
          <w:tcPr>
            <w:tcW w:w="7425" w:type="dxa"/>
            <w:tcBorders/>
            <w:vAlign w:val="center"/>
          </w:tcPr>
          <w:p>
            <w:pPr>
              <w:pStyle w:val="Normal"/>
              <w:rPr/>
            </w:pPr>
            <w:r>
              <w:rPr/>
              <w:t xml:space="preserve">Associated Press Newswires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snapToGrid w:val="false"/>
              <w:rPr/>
            </w:pPr>
            <w:r>
              <w:rPr/>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Copyright 2000. The Associated Press. All Rights Reserved.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snapToGrid w:val="false"/>
              <w:rPr/>
            </w:pPr>
            <w:r>
              <w:rPr/>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ST. PAUL (AP) - Minnesota </w:t>
            </w:r>
            <w:r>
              <w:rPr>
                <w:b/>
              </w:rPr>
              <w:t>Attorney</w:t>
            </w:r>
            <w:r>
              <w:rPr/>
              <w:t xml:space="preserve"> </w:t>
            </w:r>
            <w:r>
              <w:rPr>
                <w:b/>
              </w:rPr>
              <w:t>General</w:t>
            </w:r>
            <w:r>
              <w:rPr/>
              <w:t xml:space="preserve"> Mike Hatch said Thursday he would oppose legislation to deregulate energy markets in the state - at least for now. </w:t>
            </w:r>
          </w:p>
          <w:p>
            <w:pPr>
              <w:pStyle w:val="Normal"/>
              <w:rPr/>
            </w:pPr>
            <w:r>
              <w:rPr/>
              <w:t xml:space="preserve">"Let's see a state where it works," he said at an informal coffee meeting with reporters.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Officials in the </w:t>
            </w:r>
            <w:r>
              <w:rPr>
                <w:b/>
              </w:rPr>
              <w:t>attorney</w:t>
            </w:r>
            <w:r>
              <w:rPr/>
              <w:t xml:space="preserve"> </w:t>
            </w:r>
            <w:r>
              <w:rPr>
                <w:b/>
              </w:rPr>
              <w:t>general</w:t>
            </w:r>
            <w:r>
              <w:rPr/>
              <w:t xml:space="preserve">'s office have been researching the issue all summer and will send a several-hundred-page report on the issue to state legislators and others who might be interested in the findings. </w:t>
            </w:r>
          </w:p>
          <w:p>
            <w:pPr>
              <w:pStyle w:val="Normal"/>
              <w:rPr/>
            </w:pPr>
            <w:r>
              <w:rPr/>
              <w:t xml:space="preserve">The report suggests forming a commission to look at how Minnesota should best get its energy in the future instead of hurrying into deregulation, which it says may cause more problems than solutions at this point. </w:t>
            </w:r>
          </w:p>
          <w:p>
            <w:pPr>
              <w:pStyle w:val="Normal"/>
              <w:rPr/>
            </w:pPr>
            <w:r>
              <w:rPr/>
              <w:t xml:space="preserve">"I'm not a fan of it," Hatch said. "I think we ought to go real slow on it." </w:t>
            </w:r>
          </w:p>
          <w:p>
            <w:pPr>
              <w:pStyle w:val="Normal"/>
              <w:rPr/>
            </w:pPr>
            <w:r>
              <w:rPr/>
              <w:t xml:space="preserve">In theory, deregulation would bring down costs for consumers, but in many states that have opened up the market, prices have soared and power hasn't been reliable because not enough energy is being produced. </w:t>
            </w:r>
          </w:p>
          <w:p>
            <w:pPr>
              <w:pStyle w:val="Normal"/>
              <w:rPr/>
            </w:pPr>
            <w:r>
              <w:rPr>
                <w:b/>
              </w:rPr>
              <w:t>California</w:t>
            </w:r>
            <w:r>
              <w:rPr/>
              <w:t xml:space="preserve">, for instance, has strained its power grid to the breaking point and angry officials Thursday urged a "ratepayer rebellion" to challenge the industry in the nation's first deregulated electric market. </w:t>
            </w:r>
          </w:p>
          <w:p>
            <w:pPr>
              <w:pStyle w:val="Normal"/>
              <w:rPr/>
            </w:pPr>
            <w:r>
              <w:rPr/>
              <w:t xml:space="preserve">After hearing the complaints of consumers whose bills have doubled and even tripled this year, the state's top utility regulators approved a $100 million rebate for </w:t>
            </w:r>
            <w:r>
              <w:rPr>
                <w:b/>
              </w:rPr>
              <w:t>electricity</w:t>
            </w:r>
            <w:r>
              <w:rPr/>
              <w:t xml:space="preserve"> consumers in San Diego, the city worst hit by the state's power crisis. </w:t>
            </w:r>
          </w:p>
          <w:p>
            <w:pPr>
              <w:pStyle w:val="Normal"/>
              <w:rPr/>
            </w:pPr>
            <w:r>
              <w:rPr/>
              <w:t xml:space="preserve">Power grid areas in New England and New York had similar strains on </w:t>
            </w:r>
            <w:r>
              <w:rPr>
                <w:b/>
              </w:rPr>
              <w:t>electricity</w:t>
            </w:r>
            <w:r>
              <w:rPr/>
              <w:t xml:space="preserve"> management in early June. </w:t>
            </w:r>
          </w:p>
          <w:p>
            <w:pPr>
              <w:pStyle w:val="Normal"/>
              <w:rPr/>
            </w:pPr>
            <w:r>
              <w:rPr/>
              <w:t xml:space="preserve">The reason why electric deregulation is different from other industries is that </w:t>
            </w:r>
            <w:r>
              <w:rPr>
                <w:b/>
              </w:rPr>
              <w:t>electricity</w:t>
            </w:r>
            <w:r>
              <w:rPr/>
              <w:t xml:space="preserve"> can't be stored - it must be used or go to waste, often meaning less profit for those who produce a surplus. </w:t>
            </w:r>
          </w:p>
          <w:p>
            <w:pPr>
              <w:pStyle w:val="Normal"/>
              <w:rPr/>
            </w:pPr>
            <w:r>
              <w:rPr/>
              <w:t xml:space="preserve">"To date, electric restructuring has wreaked havoc with the prices and availability of power in the states with the highest priced </w:t>
            </w:r>
            <w:r>
              <w:rPr>
                <w:b/>
              </w:rPr>
              <w:t>electricity</w:t>
            </w:r>
            <w:r>
              <w:rPr/>
              <w:t xml:space="preserve">," the </w:t>
            </w:r>
            <w:r>
              <w:rPr>
                <w:b/>
              </w:rPr>
              <w:t>attorney</w:t>
            </w:r>
            <w:r>
              <w:rPr/>
              <w:t xml:space="preserve"> </w:t>
            </w:r>
            <w:r>
              <w:rPr>
                <w:b/>
              </w:rPr>
              <w:t>general</w:t>
            </w:r>
            <w:r>
              <w:rPr/>
              <w:t xml:space="preserve">'s report said. </w:t>
            </w:r>
          </w:p>
          <w:p>
            <w:pPr>
              <w:pStyle w:val="Normal"/>
              <w:rPr/>
            </w:pPr>
            <w:r>
              <w:rPr/>
              <w:t xml:space="preserve">Hatch believes that because Minnesota's regulated electric rates fall into the lowest third of all states' prices, competition is unlikely to bring price reductions. </w:t>
            </w:r>
          </w:p>
          <w:p>
            <w:pPr>
              <w:pStyle w:val="Normal"/>
              <w:rPr/>
            </w:pPr>
            <w:r>
              <w:rPr/>
              <w:t xml:space="preserve">Deregulation already is being forced at the federal level. The question is how quickly states need to go along with it. </w:t>
            </w:r>
          </w:p>
          <w:p>
            <w:pPr>
              <w:pStyle w:val="Normal"/>
              <w:rPr/>
            </w:pPr>
            <w:r>
              <w:rPr/>
              <w:t xml:space="preserve">"We've got a good thing going in this state," Hatch said. </w:t>
            </w:r>
          </w:p>
          <w:p>
            <w:pPr>
              <w:pStyle w:val="Normal"/>
              <w:rPr/>
            </w:pPr>
            <w:r>
              <w:rPr/>
              <w:t xml:space="preserve">He said Minnesota ought to maintain it as long as it can until officials can figure out the best way to produce more energy. </w:t>
            </w:r>
          </w:p>
          <w:p>
            <w:pPr>
              <w:pStyle w:val="Normal"/>
              <w:rPr/>
            </w:pPr>
            <w:r>
              <w:rPr/>
              <w:t xml:space="preserve">Debate on the issue is likely to include alternative energy sources such as biomass and wind turbines and whether to extend the license of the state's nuclear plants to produce power. </w:t>
            </w:r>
          </w:p>
          <w:p>
            <w:pPr>
              <w:pStyle w:val="Normal"/>
              <w:rPr/>
            </w:pPr>
            <w:r>
              <w:rPr/>
              <w:t xml:space="preserve">Northern States Power Co. generated a record 13.32 million megawatt hours of </w:t>
            </w:r>
            <w:r>
              <w:rPr>
                <w:b/>
              </w:rPr>
              <w:t>electricity</w:t>
            </w:r>
            <w:r>
              <w:rPr/>
              <w:t xml:space="preserve"> from its two nuclear plants in 1999, surpassing the previous record of 13.24 million megawatt hours set in 1995. </w:t>
            </w:r>
          </w:p>
          <w:p>
            <w:pPr>
              <w:pStyle w:val="Normal"/>
              <w:rPr/>
            </w:pPr>
            <w:r>
              <w:rPr/>
              <w:t xml:space="preserve">NSP said its Prairie Island plant in Red Wing and its Monticello plant together supplied about 25 percent of the </w:t>
            </w:r>
            <w:r>
              <w:rPr>
                <w:b/>
              </w:rPr>
              <w:t>electricity</w:t>
            </w:r>
            <w:r>
              <w:rPr/>
              <w:t xml:space="preserve"> used by the 1.5 million customers in NSP's five-state electric service area. </w:t>
            </w:r>
          </w:p>
          <w:p>
            <w:pPr>
              <w:pStyle w:val="Normal"/>
              <w:rPr/>
            </w:pPr>
            <w:r>
              <w:rPr/>
              <w:t xml:space="preserve">Larger companies like NSP are more likely to support deregulation than smaller businesses and rural cooperatives that may not be able to compete. </w:t>
            </w:r>
          </w:p>
          <w:p>
            <w:pPr>
              <w:pStyle w:val="Normal"/>
              <w:rPr/>
            </w:pPr>
            <w:r>
              <w:rPr/>
              <w:t xml:space="preserve">Dave Sparby, vice president of regulatory services for NSP, agreed that the way New York and </w:t>
            </w:r>
            <w:r>
              <w:rPr>
                <w:b/>
              </w:rPr>
              <w:t>California</w:t>
            </w:r>
            <w:r>
              <w:rPr/>
              <w:t xml:space="preserve"> went about deregulation wouldn't work for Minnesota and praised Hatch's idea of forming a panel to help map out a long-term energy plan for the state. </w:t>
            </w:r>
          </w:p>
          <w:p>
            <w:pPr>
              <w:pStyle w:val="Normal"/>
              <w:rPr/>
            </w:pPr>
            <w:r>
              <w:rPr/>
              <w:t xml:space="preserve">But eventually, some form of deregulation likely will be necessary, he said. </w:t>
            </w:r>
          </w:p>
          <w:p>
            <w:pPr>
              <w:pStyle w:val="Normal"/>
              <w:rPr/>
            </w:pPr>
            <w:r>
              <w:rPr/>
              <w:t xml:space="preserve">"We do think we are going to have to move to a more competitive energy marketplace in Minnesota and the upper Midwest to ensure that we have an adequate energy supply," he said. </w:t>
            </w:r>
          </w:p>
          <w:p>
            <w:pPr>
              <w:pStyle w:val="Normal"/>
              <w:rPr/>
            </w:pPr>
            <w:r>
              <w:rPr/>
              <w:t xml:space="preserve">Minnesota's utilities own roughly 9,000 megawatts of generating capacity within the state - more than enough for most times of the year. But consumers use about 11,500 megawatts of </w:t>
            </w:r>
            <w:r>
              <w:rPr>
                <w:b/>
              </w:rPr>
              <w:t>electricity</w:t>
            </w:r>
            <w:r>
              <w:rPr/>
              <w:t xml:space="preserve"> at summer peak and about 10,500 megawatts at winter peak. </w:t>
            </w:r>
          </w:p>
          <w:p>
            <w:pPr>
              <w:pStyle w:val="Normal"/>
              <w:rPr/>
            </w:pPr>
            <w:r>
              <w:rPr/>
              <w:t xml:space="preserve">"Minnesota should be reluctant to deregulate until it has sufficient long-term capacity to economically support its consumption at peak periods," the report concluded. </w:t>
            </w:r>
          </w:p>
        </w:tc>
      </w:tr>
    </w:tbl>
    <w:p>
      <w:pPr>
        <w:pStyle w:val="Normal"/>
        <w:rPr/>
      </w:pPr>
      <w:r>
        <w:rPr/>
      </w:r>
    </w:p>
    <w:tbl>
      <w:tblPr>
        <w:tblW w:w="11100" w:type="dxa"/>
        <w:jc w:val="start"/>
        <w:tblInd w:w="0" w:type="dxa"/>
        <w:tblLayout w:type="fixed"/>
        <w:tblCellMar>
          <w:top w:w="0" w:type="dxa"/>
          <w:start w:w="0" w:type="dxa"/>
          <w:bottom w:w="0" w:type="dxa"/>
          <w:end w:w="0" w:type="dxa"/>
        </w:tblCellMar>
      </w:tblPr>
      <w:tblGrid>
        <w:gridCol w:w="2265"/>
        <w:gridCol w:w="225"/>
        <w:gridCol w:w="8610"/>
      </w:tblGrid>
      <w:tr>
        <w:trPr/>
        <w:tc>
          <w:tcPr>
            <w:tcW w:w="2265" w:type="dxa"/>
            <w:tcBorders/>
            <w:vAlign w:val="center"/>
          </w:tcPr>
          <w:p>
            <w:pPr>
              <w:pStyle w:val="Normal"/>
              <w:snapToGrid w:val="false"/>
              <w:rPr>
                <w:lang w:val="en-CA"/>
              </w:rPr>
            </w:pPr>
            <w:r>
              <w:rPr>
                <w:lang w:val="en-CA"/>
              </w:rPr>
              <w:drawing>
                <wp:anchor behindDoc="0" distT="0" distB="0" distL="114935" distR="114935" simplePos="0" locked="0" layoutInCell="0" allowOverlap="1" relativeHeight="2">
                  <wp:simplePos x="0" y="0"/>
                  <wp:positionH relativeFrom="margin">
                    <wp:posOffset>0</wp:posOffset>
                  </wp:positionH>
                  <wp:positionV relativeFrom="paragraph">
                    <wp:posOffset>635</wp:posOffset>
                  </wp:positionV>
                  <wp:extent cx="2693035" cy="901700"/>
                  <wp:effectExtent l="0" t="0" r="0" b="0"/>
                  <wp:wrapTopAndBottom/>
                  <wp:docPr id="1" name="spac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cer" descr="" title=""/>
                          <pic:cNvPicPr>
                            <a:picLocks noChangeAspect="1" noChangeArrowheads="1"/>
                          </pic:cNvPicPr>
                        </pic:nvPicPr>
                        <pic:blipFill>
                          <a:blip r:link="rId2"/>
                          <a:srcRect l="-2147483648" t="-2147483648" r="-2147483648" b="-2147483648"/>
                          <a:stretch>
                            <a:fillRect/>
                          </a:stretch>
                        </pic:blipFill>
                        <pic:spPr bwMode="auto">
                          <a:xfrm>
                            <a:off x="0" y="0"/>
                            <a:ext cx="2693035" cy="901700"/>
                          </a:xfrm>
                          <a:prstGeom prst="rect">
                            <a:avLst/>
                          </a:prstGeom>
                          <a:noFill/>
                        </pic:spPr>
                      </pic:pic>
                    </a:graphicData>
                  </a:graphic>
                </wp:anchor>
              </w:drawing>
            </w:r>
          </w:p>
        </w:tc>
        <w:tc>
          <w:tcPr>
            <w:tcW w:w="225" w:type="dxa"/>
            <w:tcBorders/>
            <w:vAlign w:val="center"/>
          </w:tcPr>
          <w:p>
            <w:pPr>
              <w:pStyle w:val="Normal"/>
              <w:snapToGrid w:val="false"/>
              <w:rPr>
                <w:lang w:val="en-CA"/>
              </w:rPr>
            </w:pPr>
            <w:r>
              <w:rPr>
                <w:lang w:val="en-CA"/>
              </w:rPr>
              <w:drawing>
                <wp:anchor behindDoc="0" distT="0" distB="0" distL="114935" distR="114935" simplePos="0" locked="0" layoutInCell="0" allowOverlap="1" relativeHeight="3">
                  <wp:simplePos x="0" y="0"/>
                  <wp:positionH relativeFrom="margin">
                    <wp:posOffset>0</wp:posOffset>
                  </wp:positionH>
                  <wp:positionV relativeFrom="paragraph">
                    <wp:posOffset>635</wp:posOffset>
                  </wp:positionV>
                  <wp:extent cx="2693035" cy="901700"/>
                  <wp:effectExtent l="0" t="0" r="0" b="0"/>
                  <wp:wrapTopAndBottom/>
                  <wp:docPr id="2" name="spac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acer" descr="" title=""/>
                          <pic:cNvPicPr>
                            <a:picLocks noChangeAspect="1" noChangeArrowheads="1"/>
                          </pic:cNvPicPr>
                        </pic:nvPicPr>
                        <pic:blipFill>
                          <a:blip r:link="rId3"/>
                          <a:srcRect l="-2147483648" t="-2147483648" r="-2147483648" b="-2147483648"/>
                          <a:stretch>
                            <a:fillRect/>
                          </a:stretch>
                        </pic:blipFill>
                        <pic:spPr bwMode="auto">
                          <a:xfrm>
                            <a:off x="0" y="0"/>
                            <a:ext cx="2693035" cy="901700"/>
                          </a:xfrm>
                          <a:prstGeom prst="rect">
                            <a:avLst/>
                          </a:prstGeom>
                          <a:noFill/>
                        </pic:spPr>
                      </pic:pic>
                    </a:graphicData>
                  </a:graphic>
                </wp:anchor>
              </w:drawing>
            </w:r>
          </w:p>
        </w:tc>
        <w:tc>
          <w:tcPr>
            <w:tcW w:w="8610" w:type="dxa"/>
            <w:tcBorders/>
            <w:vAlign w:val="center"/>
          </w:tcPr>
          <w:p>
            <w:pPr>
              <w:pStyle w:val="Normal"/>
              <w:rPr/>
            </w:pPr>
            <w:r>
              <w:rPr/>
              <w:br/>
            </w:r>
          </w:p>
        </w:tc>
      </w:tr>
    </w:tbl>
    <w:p>
      <w:pPr>
        <w:pStyle w:val="Normal"/>
        <w:rPr/>
      </w:pPr>
      <w:r>
        <w:rPr/>
      </w:r>
    </w:p>
    <w:p>
      <w:pPr>
        <w:pStyle w:val="Normal"/>
        <w:ind w:end="540"/>
        <w:rPr/>
      </w:pPr>
      <w:r>
        <w:rPr/>
      </w:r>
    </w:p>
    <w:sectPr>
      <w:type w:val="nextPage"/>
      <w:pgSz w:w="12240" w:h="15840"/>
      <w:pgMar w:left="1440" w:right="9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ccroot/gifs/global/spacer.gif" TargetMode="External"/><Relationship Id="rId3" Type="http://schemas.openxmlformats.org/officeDocument/2006/relationships/image" Target="file:///ccroot/gifs/global/spacer.gif"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2000-08-15T11:26:00Z</dcterms:created>
  <dc:creator>EI</dc:creator>
  <dc:description/>
  <dc:language>en-CA</dc:language>
  <cp:lastModifiedBy>EI</cp:lastModifiedBy>
  <dcterms:modified xsi:type="dcterms:W3CDTF">2000-08-15T14:11:00Z</dcterms:modified>
  <cp:revision>1</cp:revision>
  <dc:subject/>
  <dc:title>Attorney General Mike Hatch will oppose energy deregulation </dc:title>
</cp:coreProperties>
</file>