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sz w:val="18"/>
          <w:lang w:val="en-CA" w:eastAsia="en-CA"/>
        </w:rPr>
      </w:pPr>
      <w:r>
        <w:rPr>
          <w:sz w:val="18"/>
          <w:lang w:val="en-CA" w:eastAsia="en-CA"/>
        </w:rPr>
        <w:object w:dxaOrig="3168" w:dyaOrig="33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9.95pt;margin-top:-44.8pt;width:115.2pt;height:122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18067198" r:id="rId2"/>
        </w:objec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2110740</wp:posOffset>
                </wp:positionH>
                <wp:positionV relativeFrom="page">
                  <wp:posOffset>9147175</wp:posOffset>
                </wp:positionV>
                <wp:extent cx="4018280" cy="72136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280" cy="721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24"/>
                              </w:rPr>
                              <w:t>Creating Opportunities Through Access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6.4pt;height:56.8pt;mso-wrap-distance-left:9.35pt;mso-wrap-distance-right:9.35pt;mso-wrap-distance-top:9.35pt;mso-wrap-distance-bottom:9.35pt;margin-top:720.25pt;mso-position-vertical-relative:page;margin-left:166.2pt;mso-position-horizontal-relative:page">
                <v:fill opacity="0f"/>
                <v:textbox inset="0in,0in,0in,0in">
                  <w:txbxContent>
                    <w:p>
                      <w:pPr>
                        <w:pStyle w:val="CompanyName"/>
                        <w:jc w:val="center"/>
                        <w:rPr>
                          <w:rFonts w:ascii="Arial" w:hAnsi="Arial" w:cs="Arial"/>
                          <w:i/>
                          <w:i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24"/>
                        </w:rPr>
                        <w:t>Creating Opportunities Through Access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3">
                <wp:simplePos x="0" y="0"/>
                <wp:positionH relativeFrom="page">
                  <wp:posOffset>4051300</wp:posOffset>
                </wp:positionH>
                <wp:positionV relativeFrom="page">
                  <wp:posOffset>576580</wp:posOffset>
                </wp:positionV>
                <wp:extent cx="2743200" cy="138747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87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Technology For All - Houston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3403 Marquart, Suite 204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Houston, Texas  77027  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PH: 713.961.0012</w:t>
                              <w:tab/>
                              <w:tab/>
                              <w:t>FAX 713.355.4528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lpowers@techforall.org</w:t>
                              <w:tab/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Recycling &amp; Distribution Center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3827 Broadway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Houston, Texas 77017</w:t>
                            </w:r>
                          </w:p>
                          <w:p>
                            <w:pPr>
                              <w:pStyle w:val="ReturnAddress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PH: 713.645.5150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109.25pt;mso-wrap-distance-left:9.35pt;mso-wrap-distance-right:9.35pt;mso-wrap-distance-top:9.35pt;mso-wrap-distance-bottom:9.35pt;margin-top:45.4pt;mso-position-vertical-relative:page;margin-left:319pt;mso-position-horizontal-relative:page">
                <v:fill opacity="0f"/>
                <v:textbox inset="0in,0in,0in,0in">
                  <w:txbxContent>
                    <w:p>
                      <w:pPr>
                        <w:pStyle w:val="ReturnAddress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</w:rPr>
                        <w:t>Technology For All - Houston</w:t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3403 Marquart, Suite 204</w:t>
                      </w:r>
                    </w:p>
                    <w:p>
                      <w:pPr>
                        <w:pStyle w:val="Normal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Houston, Texas  77027   </w:t>
                      </w:r>
                    </w:p>
                    <w:p>
                      <w:pPr>
                        <w:pStyle w:val="Normal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PH: 713.961.0012</w:t>
                        <w:tab/>
                        <w:tab/>
                        <w:t>FAX 713.355.4528</w:t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lpowers@techforall.org</w:t>
                        <w:tab/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8"/>
                        </w:rPr>
                        <w:t>Recycling &amp; Distribution Center</w:t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3827 Broadway</w:t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Houston, Texas 77017</w:t>
                      </w:r>
                    </w:p>
                    <w:p>
                      <w:pPr>
                        <w:pStyle w:val="ReturnAddress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PH: 713.645.5150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851535</wp:posOffset>
                </wp:positionH>
                <wp:positionV relativeFrom="paragraph">
                  <wp:posOffset>574040</wp:posOffset>
                </wp:positionV>
                <wp:extent cx="914400" cy="22860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Symbol" w:hAnsi="Symbol" w:eastAsia="Symbol" w:cs="Symbol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</w:rPr>
                              <w:sym w:font="Symbol" w:char="f0e2"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18pt;mso-wrap-distance-left:9.05pt;mso-wrap-distance-right:9.05pt;mso-wrap-distance-top:0pt;mso-wrap-distance-bottom:0pt;margin-top:45.2pt;mso-position-vertical-relative:text;margin-left:67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Symbol" w:hAnsi="Symbol" w:eastAsia="Symbol" w:cs="Symbol"/>
                        </w:rPr>
                      </w:pPr>
                      <w:r>
                        <w:rPr>
                          <w:rFonts w:eastAsia="Symbol" w:cs="Symbol" w:ascii="Symbol" w:hAnsi="Symbol"/>
                        </w:rPr>
                        <w:sym w:font="Symbol" w:char="f0e2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spacing w:lineRule="auto" w:line="240"/>
        <w:ind w:hanging="0" w:start="0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 xml:space="preserve">MINIMUM STANDARDS </w:t>
      </w:r>
    </w:p>
    <w:p>
      <w:pPr>
        <w:pStyle w:val="Heading1"/>
        <w:spacing w:lineRule="auto" w:line="240"/>
        <w:ind w:hanging="0" w:start="0"/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For equipment donated  to Technology For All for redeployment in the community through TFA’s program partners.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-1297305</wp:posOffset>
                </wp:positionH>
                <wp:positionV relativeFrom="paragraph">
                  <wp:posOffset>95885</wp:posOffset>
                </wp:positionV>
                <wp:extent cx="1028700" cy="48006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00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TFA-Houston</w:t>
                            </w:r>
                          </w:p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Board of Directors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Board Chair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H. Lamar Curtis, III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COO &amp; CFO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FYI-Net, LP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Charles H. Beynon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Arthur Andersen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Raymond Bourgeois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Beth Ann Bryan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Education Consultant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Andrew J. Clark, III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Attorney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Dr. Maude Ferguson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Dean, Student Services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HCC - SE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Jay Fitzgerald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Managing Director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Enron Networks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Michael W.  Hatch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Area Vice President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2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Stonebridge Technologies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2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2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Janet L. Horn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Partner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PurchasingFIrst.com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Anne Meyn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Comm. &amp; Business Liaison for Technology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HISD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  <w:t>Dr. Susan S. Yeager</w:t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b w:val="false"/>
                                <w:bCs w:val="false"/>
                                <w:sz w:val="1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1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378pt;mso-wrap-distance-left:9.05pt;mso-wrap-distance-right:9.05pt;mso-wrap-distance-top:0pt;mso-wrap-distance-bottom:0pt;margin-top:7.55pt;mso-position-vertical-relative:text;margin-left:-102.1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rPr/>
                      </w:pPr>
                      <w:r>
                        <w:rPr/>
                        <w:t>TFA-Houston</w:t>
                      </w:r>
                    </w:p>
                    <w:p>
                      <w:pPr>
                        <w:pStyle w:val="BodyText2"/>
                        <w:rPr/>
                      </w:pPr>
                      <w:r>
                        <w:rPr/>
                        <w:t>Board of Directors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Board Chair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H. Lamar Curtis, III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COO &amp; CFO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FYI-Net, LP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Charles H. Beynon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Arthur Andersen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6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Raymond Bourgeois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Beth Ann Bryan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Education Consultant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Andrew J. Clark, III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Attorney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Dr. Maude Ferguson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Dean, Student Services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HCC - SE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Jay Fitzgerald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Managing Director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Enron Networks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Michael W.  Hatch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Area Vice President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2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Stonebridge Technologies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2"/>
                        </w:rPr>
                      </w:pPr>
                      <w:r>
                        <w:rPr>
                          <w:b w:val="false"/>
                          <w:bCs w:val="false"/>
                          <w:sz w:val="12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Janet L. Horn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Partner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PurchasingFIrst.com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Anne Meyn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Comm. &amp; Business Liaison for Technology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HISD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  <w:t>Dr. Susan S. Yeager</w:t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  <w:p>
                      <w:pPr>
                        <w:pStyle w:val="BodyText2"/>
                        <w:rPr>
                          <w:b w:val="false"/>
                          <w:bCs w:val="false"/>
                          <w:sz w:val="14"/>
                        </w:rPr>
                      </w:pPr>
                      <w:r>
                        <w:rPr>
                          <w:b w:val="false"/>
                          <w:bCs w:val="false"/>
                          <w:sz w:val="1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cs="Arial"/>
          <w:b/>
          <w:bCs/>
          <w:sz w:val="24"/>
        </w:rPr>
      </w:r>
    </w:p>
    <w:p>
      <w:pPr>
        <w:pStyle w:val="BodyText"/>
        <w:jc w:val="center"/>
        <w:rPr/>
      </w:pPr>
      <w:r>
        <w:rPr/>
        <w:t>CPUs - IBM-compatible working Pentium 133 or faster with verification from BP regarding the OEM Operating System Software, 32 megs RAM, 1 gig hard drive</w:t>
      </w:r>
    </w:p>
    <w:p>
      <w:pPr>
        <w:pStyle w:val="Normal"/>
        <w:jc w:val="center"/>
        <w:rPr/>
      </w:pPr>
      <w:r>
        <w:rPr/>
        <w:t>File Servers – Pentium 166 or faster, TFA could also utilize drive arrays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15” SVGA Monitors (Working only)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RAM, all varieties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Hard Drives – 1 gig or larger for IBM compatible machines</w:t>
      </w:r>
    </w:p>
    <w:p>
      <w:pPr>
        <w:pStyle w:val="Normal"/>
        <w:jc w:val="center"/>
        <w:rPr/>
      </w:pPr>
      <w:r>
        <w:rPr/>
        <w:t>Modems (56K, working only)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Mice (working only)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Keyboards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Network Cards, 10BaseT, name brands like 3Com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Cat5 Cables with Connectors</w:t>
      </w:r>
    </w:p>
    <w:p>
      <w:pPr>
        <w:pStyle w:val="Normal"/>
        <w:jc w:val="center"/>
        <w:rPr/>
      </w:pPr>
      <w:r>
        <w:rPr/>
      </w:r>
    </w:p>
    <w:p>
      <w:pPr>
        <w:pStyle w:val="AttentionLine"/>
        <w:spacing w:lineRule="auto" w:line="240" w:before="0" w:after="0"/>
        <w:jc w:val="center"/>
        <w:rPr/>
      </w:pPr>
      <w:r>
        <w:rPr/>
        <w:t>10BaseT hubs, switches and routers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w:t>Laser or Inkjet Printers, peripherals and parts (working only)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3"/>
        <w:jc w:val="center"/>
        <w:rPr/>
      </w:pPr>
      <w:r>
        <w:rPr/>
        <w:t xml:space="preserve">Please contact Technology For All – Houston if you have further questions </w:t>
      </w:r>
    </w:p>
    <w:p>
      <w:pPr>
        <w:pStyle w:val="BodyText3"/>
        <w:jc w:val="center"/>
        <w:rPr/>
      </w:pPr>
      <w:r>
        <w:rPr/>
        <w:t>(713-961-0012).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w="12240" w:h="15840"/>
      <w:pgMar w:left="2304" w:right="1800" w:gutter="0" w:header="965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220"/>
      <w:jc w:val="start"/>
      <w:outlineLvl w:val="0"/>
    </w:pPr>
    <w:rPr/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360" w:end="0"/>
      <w:jc w:val="center"/>
      <w:outlineLvl w:val="7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  <w:jc w:val="both"/>
    </w:pPr>
    <w:rPr>
      <w:rFonts w:ascii="Arial Black" w:hAnsi="Arial Black" w:cs="Arial Black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>
      <w:rFonts w:ascii="Arial" w:hAnsi="Arial" w:cs="Arial"/>
      <w:spacing w:val="-5"/>
    </w:rPr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>
      <w:rFonts w:ascii="Arial" w:hAnsi="Arial" w:cs="Arial"/>
      <w:spacing w:val="-5"/>
    </w:rPr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>
      <w:rFonts w:ascii="Arial" w:hAnsi="Arial" w:cs="Arial"/>
      <w:spacing w:val="-5"/>
    </w:rPr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spacing w:val="-5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>
      <w:rFonts w:ascii="Arial" w:hAnsi="Arial" w:cs="Arial"/>
      <w:spacing w:val="-5"/>
    </w:rPr>
  </w:style>
  <w:style w:type="paragraph" w:styleId="InsideAddress">
    <w:name w:val="Inside Address"/>
    <w:basedOn w:val="Normal"/>
    <w:qFormat/>
    <w:pPr>
      <w:spacing w:lineRule="atLeast" w:line="220"/>
    </w:pPr>
    <w:rPr>
      <w:rFonts w:ascii="Arial" w:hAnsi="Arial" w:cs="Arial"/>
      <w:spacing w:val="-5"/>
    </w:rPr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caps/>
      <w:spacing w:val="-5"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BodyText"/>
    <w:qFormat/>
    <w:pPr>
      <w:numPr>
        <w:ilvl w:val="0"/>
        <w:numId w:val="3"/>
      </w:numPr>
    </w:pPr>
    <w:rPr/>
  </w:style>
  <w:style w:type="paragraph" w:styleId="BodyText2">
    <w:name w:val="Body Text 2"/>
    <w:basedOn w:val="Normal"/>
    <w:qFormat/>
    <w:pPr>
      <w:jc w:val="center"/>
    </w:pPr>
    <w:rPr>
      <w:b/>
      <w:bCs/>
      <w:sz w:val="18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TFA LOGO Letterhead.dot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2000-11-06T20:05:00Z</dcterms:created>
  <dc:creator>Lauren Powers</dc:creator>
  <dc:description/>
  <dc:language>en-CA</dc:language>
  <cp:lastModifiedBy>Preferred Customer</cp:lastModifiedBy>
  <cp:lastPrinted>2000-10-20T14:33:00Z</cp:lastPrinted>
  <dcterms:modified xsi:type="dcterms:W3CDTF">2000-11-06T20:05:00Z</dcterms:modified>
  <cp:revision>2</cp:revision>
  <dc:subject/>
  <dc:title>Professional Letter</dc:title>
</cp:coreProperties>
</file>