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Millenium Divestiture  </w:t>
            </w:r>
          </w:p>
          <w:p>
            <w:pPr>
              <w:pStyle w:val="Normal"/>
              <w:ind w:end="792"/>
              <w:rPr/>
            </w:pPr>
            <w:r>
              <w:rPr/>
              <w:t>Counterparty:  N/A</w:t>
            </w:r>
          </w:p>
          <w:p>
            <w:pPr>
              <w:pStyle w:val="Normal"/>
              <w:rPr/>
            </w:pPr>
            <w:r>
              <w:rPr/>
              <w:t xml:space="preserve">Business Unit:Enron South America (EGM) </w:t>
            </w:r>
          </w:p>
          <w:p>
            <w:pPr>
              <w:pStyle w:val="Normal"/>
              <w:rPr/>
            </w:pPr>
            <w:r>
              <w:rPr/>
              <w:t xml:space="preserve">Business Unit Originator: Joe Kishkill </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0"/>
            </w:r>
            <w:r>
              <w:rPr/>
              <w:t>Strategic--STRATEGIC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12/19/2000 </w:t>
            </w:r>
          </w:p>
          <w:p>
            <w:pPr>
              <w:pStyle w:val="Normal"/>
              <w:ind w:firstLine="90" w:start="-198" w:end="-1095"/>
              <w:rPr/>
            </w:pPr>
            <w:r>
              <w:rPr/>
              <w:t xml:space="preserve">RAC Analyst/Underwriter: David Gorte  </w:t>
            </w:r>
          </w:p>
          <w:p>
            <w:pPr>
              <w:pStyle w:val="Normal"/>
              <w:ind w:firstLine="90" w:start="-198" w:end="-738"/>
              <w:rPr/>
            </w:pPr>
            <w:r>
              <w:rPr/>
              <w:t xml:space="preserve">Investment Type: Strategic </w:t>
            </w:r>
          </w:p>
          <w:p>
            <w:pPr>
              <w:pStyle w:val="Normal"/>
              <w:ind w:firstLine="90" w:start="-198" w:end="-738"/>
              <w:rPr/>
            </w:pPr>
            <w:r>
              <w:rPr/>
              <w:t>Capital Funding Source(s): N/A</w:t>
            </w:r>
          </w:p>
          <w:p>
            <w:pPr>
              <w:pStyle w:val="Normal"/>
              <w:ind w:firstLine="90" w:start="-198" w:end="-738"/>
              <w:rPr/>
            </w:pPr>
            <w:r>
              <w:rPr/>
              <w:t xml:space="preserve">Expected Closing Date: Dec 2000 through March 2000 </w:t>
            </w:r>
          </w:p>
          <w:p>
            <w:pPr>
              <w:pStyle w:val="Normal"/>
              <w:ind w:firstLine="90" w:start="-198" w:end="-738"/>
              <w:rPr/>
            </w:pPr>
            <w:r>
              <w:rPr/>
              <w:t>Expected Funding Date:  Same</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hanging="2160" w:start="2520" w:end="-36"/>
        <w:rPr/>
      </w:pPr>
      <w:r>
        <w:rPr/>
        <w:t>Capital Commitment</w:t>
        <w:tab/>
        <w:t>N/A</w:t>
        <w:tab/>
      </w:r>
    </w:p>
    <w:p>
      <w:pPr>
        <w:pStyle w:val="Normal"/>
        <w:ind w:hanging="2160" w:start="2520" w:end="-36"/>
        <w:rPr/>
      </w:pPr>
      <w:r>
        <w:rPr/>
      </w:r>
    </w:p>
    <w:p>
      <w:pPr>
        <w:pStyle w:val="Normal"/>
        <w:ind w:start="360" w:end="-306"/>
        <w:rPr/>
      </w:pPr>
      <w:r>
        <w:rPr/>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ab/>
        <w:t>N/A</w:t>
      </w:r>
    </w:p>
    <w:p>
      <w:pPr>
        <w:pStyle w:val="Normal"/>
        <w:ind w:start="360" w:end="0"/>
        <w:rPr/>
      </w:pPr>
      <w:r>
        <w:rPr/>
        <w:t>Total</w:t>
        <w:tab/>
        <w:tab/>
        <w:tab/>
        <w:tab/>
        <w:tab/>
        <w:t>N/A</w:t>
      </w:r>
    </w:p>
    <w:p>
      <w:pPr>
        <w:pStyle w:val="Normal"/>
        <w:ind w:end="-36"/>
        <w:rPr/>
      </w:pPr>
      <w:r>
        <w:rPr/>
      </w:r>
    </w:p>
    <w:p>
      <w:pPr>
        <w:pStyle w:val="Heading2"/>
        <w:widowControl/>
        <w:pBdr>
          <w:top w:val="single" w:sz="8" w:space="1" w:color="000000"/>
        </w:pBdr>
        <w:ind w:hanging="0" w:start="0" w:end="-36"/>
        <w:rPr/>
      </w:pPr>
      <w:r>
        <w:rPr>
          <w:i w:val="false"/>
        </w:rPr>
        <w:t>DEAL DESCRIPTION</w:t>
      </w:r>
    </w:p>
    <w:p>
      <w:pPr>
        <w:pStyle w:val="Normal"/>
        <w:ind w:hanging="2160" w:start="2520" w:end="-36"/>
        <w:rPr>
          <w:i/>
          <w:i/>
        </w:rPr>
      </w:pPr>
      <w:r>
        <w:rPr>
          <w:i/>
        </w:rPr>
      </w:r>
    </w:p>
    <w:p>
      <w:pPr>
        <w:pStyle w:val="Normal"/>
        <w:ind w:end="-36"/>
        <w:rPr/>
      </w:pPr>
      <w:r>
        <w:rPr>
          <w:b/>
          <w:sz w:val="24"/>
        </w:rPr>
        <w:t>Request for Approval:</w:t>
      </w:r>
      <w:r>
        <w:rPr>
          <w:sz w:val="24"/>
        </w:rPr>
        <w:t xml:space="preserve">   </w:t>
        <w:tab/>
      </w:r>
    </w:p>
    <w:p>
      <w:pPr>
        <w:pStyle w:val="Normal"/>
        <w:ind w:end="-36"/>
        <w:rPr/>
      </w:pPr>
      <w:r>
        <w:rPr/>
        <w:t>To be authorized to receive approximately $10.9M by selling approximately 1,280,000 COPEL ADRs (price $8.5 or better) as described below.</w:t>
      </w:r>
    </w:p>
    <w:p>
      <w:pPr>
        <w:pStyle w:val="Normal"/>
        <w:rPr/>
      </w:pPr>
      <w:r>
        <w:rPr/>
      </w:r>
    </w:p>
    <w:p>
      <w:pPr>
        <w:pStyle w:val="Normal"/>
        <w:rPr>
          <w:b/>
          <w:sz w:val="24"/>
        </w:rPr>
      </w:pPr>
      <w:r>
        <w:rPr>
          <w:b/>
          <w:sz w:val="24"/>
        </w:rPr>
        <w:t>Original Transaction:</w:t>
      </w:r>
    </w:p>
    <w:p>
      <w:pPr>
        <w:pStyle w:val="Normal"/>
        <w:rPr/>
      </w:pPr>
      <w:r>
        <w:rPr/>
        <w:t>In June 1999, ESA acquired via auction in Brazil approximately 15,433,000 preferred B shares (non-voting) in Companhia Paranaense de Energia (“COPEL”— code-named “Millenium”).  This shareholding represents approximately 5.65% of the total cpiatl of COPEL.  This amount of shares required a capital investment into Brazil of approximately $131,000,000 (DASH # XXXXX—David please provide).  The shares were purchased as local Brazil shares and held in an Enron 100%-controlled company established in Brazil specifically for purposes of holding the shares (“PEP”).</w:t>
      </w:r>
    </w:p>
    <w:p>
      <w:pPr>
        <w:pStyle w:val="Normal"/>
        <w:rPr/>
      </w:pPr>
      <w:r>
        <w:rPr/>
      </w:r>
    </w:p>
    <w:p>
      <w:pPr>
        <w:pStyle w:val="Normal"/>
        <w:rPr/>
      </w:pPr>
      <w:r>
        <w:rPr/>
        <w:t>Over the course of 2000, the local shares were: (a) converted to ADRs and (b) transferred out of Brazil to PEP’s parent companies (Cayman).  This conversion and subsequent transfer was performed in order to: (a) avoid potential double taxation and (b) avoid any potential issues with trapped cash.</w:t>
      </w:r>
    </w:p>
    <w:p>
      <w:pPr>
        <w:pStyle w:val="Normal"/>
        <w:rPr/>
      </w:pPr>
      <w:r>
        <w:rPr/>
      </w:r>
    </w:p>
    <w:p>
      <w:pPr>
        <w:pStyle w:val="Normal"/>
        <w:rPr/>
      </w:pPr>
      <w:r>
        <w:rPr/>
      </w:r>
    </w:p>
    <w:p>
      <w:pPr>
        <w:pStyle w:val="Normal"/>
        <w:rPr>
          <w:b/>
          <w:sz w:val="24"/>
        </w:rPr>
      </w:pPr>
      <w:r>
        <w:rPr>
          <w:b/>
          <w:sz w:val="24"/>
        </w:rPr>
        <w:t>Valuation:</w:t>
      </w:r>
    </w:p>
    <w:p>
      <w:pPr>
        <w:pStyle w:val="Normal"/>
        <w:rPr/>
      </w:pPr>
      <w:r>
        <w:rPr/>
        <w:t xml:space="preserve">Enron’s cost basis in the shares for US GAAP purposes is still $131,000,000, or approximately $8.48 per share (NYSE ticker: ELP).  The shares are a strategic investment and kept in the “Held For Sale” book, therefore there is no MTM on share price movements.  Any sales out of this position will not change the accounting treatment of Enron’s remaining position in the shares.  [KENT—PLEASE CONFIRM ALL]   </w:t>
      </w:r>
    </w:p>
    <w:p>
      <w:pPr>
        <w:pStyle w:val="Normal"/>
        <w:rPr/>
      </w:pPr>
      <w:r>
        <w:rPr/>
      </w:r>
    </w:p>
    <w:p>
      <w:pPr>
        <w:pStyle w:val="Normal"/>
        <w:rPr>
          <w:b/>
          <w:sz w:val="24"/>
        </w:rPr>
      </w:pPr>
      <w:r>
        <w:rPr>
          <w:b/>
          <w:sz w:val="24"/>
        </w:rPr>
        <w:t xml:space="preserve">Proposed Transaction: </w:t>
      </w:r>
    </w:p>
    <w:p>
      <w:pPr>
        <w:pStyle w:val="Normal"/>
        <w:rPr/>
      </w:pPr>
      <w:r>
        <w:rPr/>
        <w:t>Because the original seller of the local shares in Brazil to Enron was a Brazilian government entity (BNDES-par, the Brazilian Development Bank), the shares when converted to ADRs were deemed “restricted for sale” under Rule 144a.  This restriction will end in its entirety on June 29</w:t>
      </w:r>
      <w:r>
        <w:rPr>
          <w:vertAlign w:val="superscript"/>
        </w:rPr>
        <w:t>th</w:t>
      </w:r>
      <w:r>
        <w:rPr/>
        <w:t>, 2001.  In the meantime, Rule 144a provides for a limited amount of shares to be “unrestricted” every 3 months following the 1 year anniversary of the original purchase by Enron. [ROBERT--PLEASE CONFIRM ALL]</w:t>
      </w:r>
    </w:p>
    <w:p>
      <w:pPr>
        <w:pStyle w:val="Normal"/>
        <w:rPr/>
      </w:pPr>
      <w:r>
        <w:rPr/>
      </w:r>
    </w:p>
    <w:p>
      <w:pPr>
        <w:pStyle w:val="Normal"/>
        <w:rPr/>
      </w:pPr>
      <w:r>
        <w:rPr/>
        <w:t xml:space="preserve">EGM is in process of converting this limited amount of shares from restricted to unrestricted.  This amount of shares to be converted is expected to be approximately 1,280,000 ADRs.  </w:t>
      </w:r>
    </w:p>
    <w:p>
      <w:pPr>
        <w:pStyle w:val="Normal"/>
        <w:rPr/>
      </w:pPr>
      <w:r>
        <w:rPr/>
      </w:r>
    </w:p>
    <w:p>
      <w:pPr>
        <w:pStyle w:val="Normal"/>
        <w:rPr/>
      </w:pPr>
      <w:r>
        <w:rPr/>
        <w:t>Per Enron Corp and EGM management determination, the goal is to sell these shares at or above the cost basis from the period December 2000 through March 2001.  No gain is expected from the sale.</w:t>
      </w:r>
    </w:p>
    <w:p>
      <w:pPr>
        <w:pStyle w:val="Normal"/>
        <w:rPr/>
      </w:pPr>
      <w:r>
        <w:rPr/>
      </w:r>
    </w:p>
    <w:p>
      <w:pPr>
        <w:pStyle w:val="Normal"/>
        <w:rPr/>
      </w:pPr>
      <w:r>
        <w:rPr/>
        <w:t>Joe Kishkill, in coordination with Mark Metts, will supervise the disposition of these shares in the open market.  Gary Hickerson’s equity group will be briefed and will execute at the sale price on the NYSE as determined by Joe (which may be below the cost basis at Joe’s discretion).  It is expected that the sales will be performed in small lots on a daily and weekly basis as the market permits (ELP’s average daily trading volume over the past 3 months is about 200,000 shares).  Bruce Harris, Ed Graham, and Eduardo Camara will coordinate at Joe and Mark’s direction the overall sale process, with Bruce Harris to provide GH’s team with execution price and amount as determined by JK/MM.</w:t>
      </w:r>
    </w:p>
    <w:p>
      <w:pPr>
        <w:pStyle w:val="Normal"/>
        <w:rPr/>
      </w:pPr>
      <w:r>
        <w:rPr/>
      </w:r>
    </w:p>
    <w:p>
      <w:pPr>
        <w:pStyle w:val="Normal"/>
        <w:rPr/>
      </w:pPr>
      <w:r>
        <w:rPr/>
        <w:t xml:space="preserve">This DASH will have no applicability to the remaining 14,153,000 shares owned by Enron.  A separate DASH will be prepared for any actions taken with respect to those shares.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Subordinated Debt</w:t>
            </w:r>
          </w:p>
        </w:tc>
        <w:tc>
          <w:tcPr>
            <w:tcW w:w="1260" w:type="dxa"/>
            <w:tcBorders/>
          </w:tcPr>
          <w:p>
            <w:pPr>
              <w:pStyle w:val="Normal"/>
              <w:jc w:val="end"/>
              <w:rPr/>
            </w:pPr>
            <w:r>
              <w:rPr/>
              <w:t>$</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Capital Expenditure</w:t>
            </w:r>
          </w:p>
        </w:tc>
        <w:tc>
          <w:tcPr>
            <w:tcW w:w="1260" w:type="dxa"/>
            <w:tcBorders/>
          </w:tcPr>
          <w:p>
            <w:pPr>
              <w:pStyle w:val="Normal"/>
              <w:snapToGrid w:val="false"/>
              <w:jc w:val="end"/>
              <w:rPr/>
            </w:pPr>
            <w:r>
              <w:rPr/>
            </w:r>
          </w:p>
        </w:tc>
      </w:tr>
      <w:tr>
        <w:trPr/>
        <w:tc>
          <w:tcPr>
            <w:tcW w:w="2160" w:type="dxa"/>
            <w:tcBorders/>
          </w:tcPr>
          <w:p>
            <w:pPr>
              <w:pStyle w:val="Header"/>
              <w:widowControl/>
              <w:tabs>
                <w:tab w:val="clear" w:pos="4320"/>
                <w:tab w:val="clear" w:pos="8640"/>
              </w:tabs>
              <w:rPr/>
            </w:pPr>
            <w:r>
              <w:rPr/>
              <w:t>Enron Equity</w:t>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cPr>
          <w:p>
            <w:pPr>
              <w:pStyle w:val="Normal"/>
              <w:snapToGrid w:val="false"/>
              <w:jc w:val="end"/>
              <w:rPr/>
            </w:pPr>
            <w:r>
              <w:rPr/>
            </w:r>
          </w:p>
        </w:tc>
      </w:tr>
      <w:tr>
        <w:trPr/>
        <w:tc>
          <w:tcPr>
            <w:tcW w:w="2160" w:type="dxa"/>
            <w:tcBorders/>
          </w:tcPr>
          <w:p>
            <w:pPr>
              <w:pStyle w:val="Normal"/>
              <w:rPr/>
            </w:pPr>
            <w:r>
              <w:rPr/>
              <w:t>Total</w:t>
            </w:r>
          </w:p>
        </w:tc>
        <w:tc>
          <w:tcPr>
            <w:tcW w:w="1260" w:type="dxa"/>
            <w:tcBorders>
              <w:top w:val="single" w:sz="6" w:space="0" w:color="000000"/>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snapToGrid w:val="false"/>
              <w:jc w:val="end"/>
              <w:rPr/>
            </w:pPr>
            <w:r>
              <w:rPr/>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snapToGrid w:val="false"/>
              <w:ind w:end="-69"/>
              <w:jc w:val="end"/>
              <w:rPr>
                <w:b w:val="false"/>
              </w:rPr>
            </w:pPr>
            <w:r>
              <w:rPr>
                <w:b w:val="false"/>
              </w:rPr>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snapToGrid w:val="false"/>
              <w:ind w:end="-69"/>
              <w:jc w:val="end"/>
              <w:rPr>
                <w:b w:val="false"/>
              </w:rPr>
            </w:pPr>
            <w:r>
              <w:rPr>
                <w:b w:val="false"/>
              </w:rPr>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snapToGrid w:val="false"/>
              <w:ind w:end="-63"/>
              <w:jc w:val="end"/>
              <w:rPr/>
            </w:pPr>
            <w:r>
              <w:rPr/>
            </w:r>
          </w:p>
        </w:tc>
      </w:tr>
      <w:tr>
        <w:trPr>
          <w:trHeight w:val="280"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360"/>
                <w:tab w:val="left" w:pos="432" w:leader="none"/>
              </w:tabs>
              <w:snapToGrid w:val="false"/>
              <w:ind w:end="-63"/>
              <w:jc w:val="end"/>
              <w:rPr>
                <w:b w:val="false"/>
              </w:rPr>
            </w:pPr>
            <w:r>
              <w:rPr>
                <w:b w:val="false"/>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snapToGrid w:val="false"/>
              <w:jc w:val="end"/>
              <w:rPr>
                <w:b/>
              </w:rPr>
            </w:pPr>
            <w:r>
              <w:rPr>
                <w:b/>
              </w:rPr>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b/>
              </w:rPr>
            </w:pPr>
            <w:r>
              <w:rPr>
                <w:b/>
              </w:rPr>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360"/>
                <w:tab w:val="left" w:pos="432" w:leader="none"/>
              </w:tabs>
              <w:snapToGrid w:val="false"/>
              <w:ind w:end="-63"/>
              <w:jc w:val="end"/>
              <w:rPr>
                <w:b/>
              </w:rPr>
            </w:pPr>
            <w:r>
              <w:rPr>
                <w:b/>
              </w:rPr>
            </w:r>
          </w:p>
        </w:tc>
      </w:tr>
    </w:tbl>
    <w:p>
      <w:pPr>
        <w:pStyle w:val="Normal"/>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Header"/>
              <w:widowControl/>
              <w:tabs>
                <w:tab w:val="clear" w:pos="4320"/>
                <w:tab w:val="clear" w:pos="8640"/>
              </w:tabs>
              <w:rPr/>
            </w:pPr>
            <w:r>
              <w:rPr/>
              <w:t>E-Rating</w:t>
            </w:r>
          </w:p>
        </w:tc>
        <w:tc>
          <w:tcPr>
            <w:tcW w:w="1260" w:type="dxa"/>
            <w:tcBorders/>
          </w:tcPr>
          <w:p>
            <w:pPr>
              <w:pStyle w:val="Header"/>
              <w:widowControl/>
              <w:tabs>
                <w:tab w:val="clear" w:pos="4320"/>
                <w:tab w:val="clear" w:pos="8640"/>
              </w:tabs>
              <w:snapToGrid w:val="false"/>
              <w:jc w:val="end"/>
              <w:rPr/>
            </w:pPr>
            <w:r>
              <w:rPr/>
            </w:r>
          </w:p>
        </w:tc>
        <w:tc>
          <w:tcPr>
            <w:tcW w:w="1710" w:type="dxa"/>
            <w:tcBorders/>
          </w:tcPr>
          <w:p>
            <w:pPr>
              <w:pStyle w:val="Header"/>
              <w:widowControl/>
              <w:tabs>
                <w:tab w:val="clear" w:pos="4320"/>
                <w:tab w:val="clear" w:pos="8640"/>
              </w:tabs>
              <w:snapToGrid w:val="false"/>
              <w:rPr/>
            </w:pPr>
            <w:r>
              <w:rPr/>
            </w:r>
          </w:p>
        </w:tc>
        <w:tc>
          <w:tcPr>
            <w:tcW w:w="2790" w:type="dxa"/>
            <w:tcBorders/>
          </w:tcPr>
          <w:p>
            <w:pPr>
              <w:pStyle w:val="Header"/>
              <w:widowControl/>
              <w:tabs>
                <w:tab w:val="clear" w:pos="4320"/>
                <w:tab w:val="clear" w:pos="8640"/>
              </w:tabs>
              <w:rPr/>
            </w:pPr>
            <w:r>
              <w:rPr/>
              <w:t>Relative upside  ratio</w:t>
            </w:r>
          </w:p>
        </w:tc>
        <w:tc>
          <w:tcPr>
            <w:tcW w:w="1260" w:type="dxa"/>
            <w:tcBorders/>
          </w:tcPr>
          <w:p>
            <w:pPr>
              <w:pStyle w:val="Header"/>
              <w:widowControl/>
              <w:tabs>
                <w:tab w:val="clear" w:pos="4320"/>
                <w:tab w:val="clear" w:pos="8640"/>
              </w:tabs>
              <w:snapToGrid w:val="false"/>
              <w:jc w:val="end"/>
              <w:rPr/>
            </w:pPr>
            <w:r>
              <w:rPr/>
            </w:r>
          </w:p>
        </w:tc>
      </w:tr>
    </w:tbl>
    <w:p>
      <w:pPr>
        <w:pStyle w:val="Header"/>
        <w:widowControl/>
        <w:tabs>
          <w:tab w:val="clear" w:pos="4320"/>
          <w:tab w:val="clear" w:pos="8640"/>
        </w:tabs>
        <w:rPr/>
      </w:pPr>
      <w:r>
        <w:rPr/>
      </w:r>
    </w:p>
    <w:p>
      <w:pPr>
        <w:pStyle w:val="Normal"/>
        <w:numPr>
          <w:ilvl w:val="0"/>
          <w:numId w:val="0"/>
        </w:numPr>
        <w:rPr/>
      </w:pPr>
      <w:r>
        <w:rPr/>
      </w:r>
      <w:r>
        <w:br w:type="page"/>
      </w:r>
      <w:r>
        <mc:AlternateContent>
          <mc:Choice Requires="wps">
            <w:drawing>
              <wp:anchor behindDoc="0" distT="0" distB="0" distL="114935" distR="114935" simplePos="0" locked="0" layoutInCell="1" allowOverlap="1" relativeHeight="2">
                <wp:simplePos x="0" y="0"/>
                <wp:positionH relativeFrom="column">
                  <wp:posOffset>1097280</wp:posOffset>
                </wp:positionH>
                <wp:positionV relativeFrom="paragraph">
                  <wp:posOffset>123190</wp:posOffset>
                </wp:positionV>
                <wp:extent cx="274320" cy="182880"/>
                <wp:effectExtent l="0" t="0" r="0" b="0"/>
                <wp:wrapNone/>
                <wp:docPr id="1" name="Frame1"/>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1.6pt;height:14.4pt;mso-wrap-distance-left:9.05pt;mso-wrap-distance-right:9.05pt;mso-wrap-distance-top:0pt;mso-wrap-distance-bottom:0pt;margin-top:9.7pt;mso-position-vertical-relative:text;margin-left:86.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pPr>
      <w:r>
        <w:rPr/>
      </w:r>
    </w:p>
    <w:p>
      <w:pPr>
        <w:pStyle w:val="Heading1"/>
        <w:ind w:hanging="0" w:start="0"/>
        <w:rPr/>
      </w:pPr>
      <w:r>
        <w:rPr/>
      </w:r>
    </w:p>
    <w:p>
      <w:pPr>
        <w:pStyle w:val="Normal"/>
        <w:rPr/>
      </w:pPr>
      <w:r>
        <w:rPr/>
      </w:r>
    </w:p>
    <w:p>
      <w:pPr>
        <w:pStyle w:val="Normal"/>
        <w:rPr/>
      </w:pPr>
      <w:r>
        <w:rPr/>
      </w:r>
    </w:p>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Heading2"/>
        <w:widowControl/>
        <w:ind w:hanging="0" w:start="0"/>
        <w:rPr>
          <w:b w:val="false"/>
          <w:i w:val="false"/>
          <w:i w:val="false"/>
        </w:rPr>
      </w:pPr>
      <w:r>
        <w:rPr>
          <w:b w:val="false"/>
          <w:i w:val="false"/>
        </w:rPr>
        <w:t>(include chart to show impact if appropriate)</w:t>
      </w:r>
    </w:p>
    <w:p>
      <w:pPr>
        <w:pStyle w:val="Normal"/>
        <w:ind w:end="-36"/>
        <w:rPr>
          <w:b/>
          <w:i/>
          <w:i/>
        </w:rPr>
      </w:pPr>
      <w:r>
        <w:rPr>
          <w:b/>
          <w:i/>
        </w:rPr>
      </w:r>
    </w:p>
    <w:p>
      <w:pPr>
        <w:pStyle w:val="Normal"/>
        <w:ind w:end="-36"/>
        <w:rPr/>
      </w:pPr>
      <w:r>
        <w:rPr/>
      </w:r>
    </w:p>
    <w:p>
      <w:pPr>
        <w:pStyle w:val="Normal"/>
        <w:pBdr>
          <w:top w:val="single" w:sz="8" w:space="0" w:color="000000"/>
        </w:pBdr>
        <w:ind w:end="-36"/>
        <w:rPr/>
      </w:pPr>
      <w:r>
        <w:rPr>
          <w:b/>
        </w:rPr>
        <w:t>EXIT STRATEGY</w:t>
      </w:r>
      <w:r>
        <w:rPr/>
        <w:t xml:space="preserve"> (Merchant investments only)</w:t>
      </w:r>
    </w:p>
    <w:p>
      <w:pPr>
        <w:pStyle w:val="Normal"/>
        <w:rPr/>
      </w:pPr>
      <w:r>
        <w:rPr/>
      </w:r>
    </w:p>
    <w:p>
      <w:pPr>
        <w:pStyle w:val="Normal"/>
        <w:rPr/>
      </w:pPr>
      <w:r>
        <w:rPr/>
      </w:r>
    </w:p>
    <w:p>
      <w:pPr>
        <w:pStyle w:val="Heading1"/>
        <w:ind w:hanging="0" w:start="0"/>
        <w:rPr/>
      </w:pPr>
      <w: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12700</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i w:val="false"/>
        </w:rPr>
        <w:t xml:space="preserve">RISK MATRIX </w:t>
      </w:r>
      <w:r>
        <w:rPr>
          <w:b w:val="false"/>
          <w:i w:val="false"/>
        </w:rPr>
        <w:t>(Maximum 5)</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Construction Cost Overruns and Delays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Management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Heat Rate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Operator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 xml:space="preserve">Operating Expense Risk </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r>
        <w:br w:type="page"/>
      </w:r>
    </w:p>
    <w:p>
      <w:pPr>
        <w:pStyle w:val="Normal"/>
        <w:rPr>
          <w:b/>
        </w:rPr>
      </w:pPr>
      <w:r>
        <w:rPr>
          <w:b/>
        </w:rPr>
        <w:t>KEY SUCCESS FACTORS</w:t>
      </w:r>
    </w:p>
    <w:p>
      <w:pPr>
        <w:pStyle w:val="Normal"/>
        <w:rPr>
          <w:b/>
        </w:rPr>
      </w:pPr>
      <w:r>
        <w:rPr>
          <w:b/>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start w:val="single" w:sz="4" w:space="0" w:color="000000"/>
              <w:bottom w:val="single" w:sz="4" w:space="0" w:color="000000"/>
            </w:tcBorders>
          </w:tcPr>
          <w:p>
            <w:pPr>
              <w:pStyle w:val="Heading1"/>
              <w:ind w:hanging="0" w:start="0"/>
              <w:rPr/>
            </w:pPr>
            <w:r>
              <w:rPr/>
              <w:t>Fair</w:t>
            </w:r>
          </w:p>
        </w:tc>
        <w:tc>
          <w:tcPr>
            <w:tcW w:w="1170" w:type="dxa"/>
            <w:tcBorders>
              <w:top w:val="single" w:sz="4" w:space="0" w:color="000000"/>
              <w:start w:val="single" w:sz="4" w:space="0" w:color="000000"/>
              <w:bottom w:val="single" w:sz="4" w:space="0" w:color="000000"/>
            </w:tcBorders>
          </w:tcPr>
          <w:p>
            <w:pPr>
              <w:pStyle w:val="Heading1"/>
              <w:ind w:hanging="0" w:start="0"/>
              <w:rPr/>
            </w:pPr>
            <w:r>
              <w:rPr/>
              <w:t>Good</w:t>
            </w:r>
          </w:p>
        </w:tc>
        <w:tc>
          <w:tcPr>
            <w:tcW w:w="1170" w:type="dxa"/>
            <w:tcBorders>
              <w:top w:val="single" w:sz="4" w:space="0" w:color="000000"/>
              <w:start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Joe Kishkill/</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Kent Castleman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Robert H George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3"/>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Received</w:t>
            </w:r>
          </w:p>
        </w:tc>
        <w:tc>
          <w:tcPr>
            <w:tcW w:w="2250" w:type="dxa"/>
            <w:tcBorders/>
          </w:tcPr>
          <w:p>
            <w:pPr>
              <w:pStyle w:val="Normal"/>
              <w:jc w:val="end"/>
              <w:rPr/>
            </w:pPr>
            <w:r>
              <w:rPr/>
              <w:t>$10,000</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$10,000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7"/>
        </w:numPr>
        <w:rPr/>
      </w:pPr>
      <w:r>
        <w:rPr/>
        <w:t>Investment terms and pricing:</w:t>
        <w:tab/>
        <w:tab/>
        <w:tab/>
        <w:t>XXX</w:t>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 N/A</w:t>
        <w:br/>
        <w:br/>
      </w:r>
    </w:p>
    <w:p>
      <w:pPr>
        <w:pStyle w:val="List"/>
        <w:numPr>
          <w:ilvl w:val="0"/>
          <w:numId w:val="7"/>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  N/A</w:t>
        <w:br/>
        <w:br/>
      </w:r>
    </w:p>
    <w:p>
      <w:pPr>
        <w:pStyle w:val="List"/>
        <w:numPr>
          <w:ilvl w:val="0"/>
          <w:numId w:val="7"/>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 N/A</w:t>
        <w:br/>
        <w:br/>
      </w:r>
    </w:p>
    <w:p>
      <w:pPr>
        <w:pStyle w:val="List"/>
        <w:numPr>
          <w:ilvl w:val="0"/>
          <w:numId w:val="4"/>
        </w:numPr>
        <w:tabs>
          <w:tab w:val="clear" w:pos="360"/>
        </w:tabs>
        <w:rPr/>
      </w:pPr>
      <w:r>
        <w:rPr/>
        <w:t>Business unit intent to syndicate:</w:t>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 N/A</w:t>
        <w:br/>
        <w:br/>
      </w:r>
    </w:p>
    <w:p>
      <w:pPr>
        <w:pStyle w:val="Normal"/>
        <w:numPr>
          <w:ilvl w:val="0"/>
          <w:numId w:val="8"/>
        </w:numPr>
        <w:tabs>
          <w:tab w:val="clear" w:pos="360"/>
        </w:tabs>
        <w:rPr/>
      </w:pPr>
      <w:r>
        <w:rPr/>
        <w:t>Intended Enron hold period:  3 month sale period</w:t>
        <w:br/>
        <w:br/>
      </w:r>
    </w:p>
    <w:p>
      <w:pPr>
        <w:pStyle w:val="Normal"/>
        <w:numPr>
          <w:ilvl w:val="0"/>
          <w:numId w:val="2"/>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t>XXXX</w:t>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10">
                <wp:simplePos x="0" y="0"/>
                <wp:positionH relativeFrom="column">
                  <wp:posOffset>5577840</wp:posOffset>
                </wp:positionH>
                <wp:positionV relativeFrom="paragraph">
                  <wp:posOffset>25400</wp:posOffset>
                </wp:positionV>
                <wp:extent cx="1005840" cy="0"/>
                <wp:effectExtent l="0" t="5080" r="0" b="5080"/>
                <wp:wrapNone/>
                <wp:docPr id="3"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5"/>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t>XXXXX</w:t>
      </w:r>
      <w:r>
        <w:rPr>
          <w:rFonts w:eastAsia="Monotype Sorts" w:cs="Monotype Sorts" w:ascii="Monotype Sorts" w:hAnsi="Monotype Sorts"/>
        </w:rPr>
        <w:sym w:font="Monotype Sorts"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6"/>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t>XXXXXX</w:t>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88265</wp:posOffset>
                </wp:positionV>
                <wp:extent cx="962025" cy="2540"/>
                <wp:effectExtent l="5715" t="5080" r="5080" b="5715"/>
                <wp:wrapNone/>
                <wp:docPr id="6"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Normal"/>
        <w:rPr/>
      </w:pPr>
      <w:r>
        <w:rPr/>
        <w:t>Global Finance Legal:</w:t>
        <w:tab/>
        <w:tab/>
        <w:tab/>
        <w:tab/>
        <w:tab/>
        <w:tab/>
        <w:tab/>
        <w:tab/>
        <w:tab/>
        <w:tab/>
        <w:tab/>
        <w:tab/>
        <w:tab/>
        <w:t>Robert H George</w:t>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6">
                <wp:simplePos x="0" y="0"/>
                <wp:positionH relativeFrom="column">
                  <wp:posOffset>2026920</wp:posOffset>
                </wp:positionH>
                <wp:positionV relativeFrom="paragraph">
                  <wp:posOffset>-3810</wp:posOffset>
                </wp:positionV>
                <wp:extent cx="1724025" cy="635"/>
                <wp:effectExtent l="5715" t="5080" r="5080" b="4445"/>
                <wp:wrapNone/>
                <wp:docPr id="7"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3846195</wp:posOffset>
                </wp:positionH>
                <wp:positionV relativeFrom="paragraph">
                  <wp:posOffset>-3810</wp:posOffset>
                </wp:positionV>
                <wp:extent cx="1724025" cy="635"/>
                <wp:effectExtent l="5715" t="5080" r="5080" b="4445"/>
                <wp:wrapNone/>
                <wp:docPr id="8"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5760720</wp:posOffset>
                </wp:positionH>
                <wp:positionV relativeFrom="paragraph">
                  <wp:posOffset>-3810</wp:posOffset>
                </wp:positionV>
                <wp:extent cx="952500" cy="635"/>
                <wp:effectExtent l="5080" t="5080" r="5715" b="4445"/>
                <wp:wrapNone/>
                <wp:docPr id="9"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p>
    <w:p>
      <w:pPr>
        <w:pStyle w:val="Normal"/>
        <w:tabs>
          <w:tab w:val="clear" w:pos="360"/>
          <w:tab w:val="left" w:pos="720" w:leader="none"/>
        </w:tabs>
        <w:ind w:start="360" w:end="0"/>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/mnt/main-storage/datasets/enron-docs/doc/Millenium_Divestiture.doc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ABC Co.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c."/>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b w:val="false"/>
      <w:i w:val="false"/>
    </w:rPr>
  </w:style>
  <w:style w:type="character" w:styleId="WW8Num3z0">
    <w:name w:val="WW8Num3z0"/>
    <w:qFormat/>
    <w:rPr>
      <w:b w:val="false"/>
      <w:i w:val="false"/>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2000-12-20T11:52:00Z</dcterms:created>
  <dc:creator>mruane</dc:creator>
  <dc:description>MR: 9-20-99 added tax signoff</dc:description>
  <dc:language>en-CA</dc:language>
  <cp:lastModifiedBy>bharris3</cp:lastModifiedBy>
  <cp:lastPrinted>2000-08-15T14:58:00Z</cp:lastPrinted>
  <dcterms:modified xsi:type="dcterms:W3CDTF">2000-12-20T11:52:00Z</dcterms:modified>
  <cp:revision>2</cp:revision>
  <dc:subject/>
  <dc:title>ENRON RISK ASSESSMENT AND CONTROL</dc:title>
</cp:coreProperties>
</file>