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t xml:space="preserve">Cash Flow </w:t>
      </w:r>
    </w:p>
    <w:p>
      <w:pPr>
        <w:pStyle w:val="Normal"/>
        <w:jc w:val="both"/>
        <w:rPr>
          <w:b/>
        </w:rPr>
      </w:pPr>
      <w:r>
        <w:rPr>
          <w:b/>
        </w:rPr>
      </w:r>
    </w:p>
    <w:p>
      <w:pPr>
        <w:pStyle w:val="Normal"/>
        <w:jc w:val="both"/>
        <w:rPr>
          <w:b/>
        </w:rPr>
      </w:pPr>
      <w:r>
        <w:rPr>
          <w:b/>
        </w:rPr>
        <w:t>Inception to 2001 –</w:t>
      </w:r>
    </w:p>
    <w:p>
      <w:pPr>
        <w:pStyle w:val="Normal"/>
        <w:jc w:val="both"/>
        <w:rPr>
          <w:b/>
          <w:bCs/>
        </w:rPr>
      </w:pPr>
      <w:r>
        <w:rPr>
          <w:b/>
          <w:bCs/>
        </w:rPr>
      </w:r>
    </w:p>
    <w:p>
      <w:pPr>
        <w:pStyle w:val="BodyText"/>
        <w:ind w:start="900" w:end="0"/>
        <w:rPr>
          <w:bCs/>
        </w:rPr>
      </w:pPr>
      <w:r>
        <w:rPr>
          <w:bCs/>
        </w:rPr>
        <w:t>The weather group in every quarter has had positive cash settlements.  Simplistically, cash inflows occur twice a year - at the end of March and the end of September.  This is a function of the seasonal nature of our business.</w:t>
      </w:r>
    </w:p>
    <w:p>
      <w:pPr>
        <w:pStyle w:val="Normal"/>
        <w:jc w:val="both"/>
        <w:rPr>
          <w:b/>
          <w:bCs/>
        </w:rPr>
      </w:pPr>
      <w:r>
        <w:rPr>
          <w:b/>
          <w:bCs/>
        </w:rPr>
      </w:r>
    </w:p>
    <w:p>
      <w:pPr>
        <w:pStyle w:val="Normal"/>
        <w:ind w:hanging="900" w:start="900" w:end="0"/>
        <w:jc w:val="both"/>
        <w:rPr>
          <w:b/>
        </w:rPr>
      </w:pPr>
      <w:r>
        <w:rPr>
          <w:b/>
        </w:rPr>
        <w:t xml:space="preserve">2001 – </w:t>
        <w:tab/>
      </w:r>
      <w:r>
        <w:rPr>
          <w:bCs/>
        </w:rPr>
        <w:t xml:space="preserve">We will be net consumers of cash for two reasons: 1) we purchased a 3 year basket of put options from Goldman Sachs for $26.5 million and 2) we established a very long gamma position for the 2001/2002 winter season. </w:t>
      </w:r>
    </w:p>
    <w:p>
      <w:pPr>
        <w:pStyle w:val="Normal"/>
        <w:ind w:hanging="900" w:start="900" w:end="0"/>
        <w:jc w:val="both"/>
        <w:rPr>
          <w:b/>
        </w:rPr>
      </w:pPr>
      <w:r>
        <w:rPr>
          <w:b/>
        </w:rPr>
      </w:r>
    </w:p>
    <w:p>
      <w:pPr>
        <w:pStyle w:val="Normal"/>
        <w:ind w:hanging="900" w:start="900" w:end="0"/>
        <w:jc w:val="both"/>
        <w:rPr/>
      </w:pPr>
      <w:r>
        <w:rPr>
          <w:b/>
        </w:rPr>
        <w:t>2002 -</w:t>
        <w:tab/>
      </w:r>
      <w:r>
        <w:rPr>
          <w:bCs/>
        </w:rPr>
        <w:t>The current mark to market (model) value of the portfolio suggests cash inflows in the first quarter of $34 million.  Having gone through the portfolio in detail, we believe the upside is $71 million.  I am confident that the number will come in around $50 million.</w:t>
      </w:r>
    </w:p>
    <w:p>
      <w:pPr>
        <w:pStyle w:val="Normal"/>
        <w:ind w:hanging="900" w:start="900" w:end="0"/>
        <w:jc w:val="both"/>
        <w:rPr>
          <w:bCs/>
        </w:rPr>
      </w:pPr>
      <w:r>
        <w:rPr>
          <w:bCs/>
        </w:rPr>
        <w:tab/>
      </w:r>
    </w:p>
    <w:p>
      <w:pPr>
        <w:pStyle w:val="Normal"/>
        <w:ind w:hanging="900" w:start="900" w:end="0"/>
        <w:jc w:val="both"/>
        <w:rPr>
          <w:bCs/>
        </w:rPr>
      </w:pPr>
      <w:r>
        <w:rPr>
          <w:bCs/>
        </w:rPr>
        <w:tab/>
        <w:t>Assuming even positive cash flow of $34 million in the first quarter, I believe that we will be a net generator of cash in 2002 of more than $40.</w:t>
      </w:r>
    </w:p>
    <w:p>
      <w:pPr>
        <w:pStyle w:val="Normal"/>
        <w:ind w:hanging="900" w:start="900" w:end="0"/>
        <w:jc w:val="both"/>
        <w:rPr>
          <w:bCs/>
        </w:rPr>
      </w:pPr>
      <w:r>
        <w:rPr>
          <w:bCs/>
        </w:rPr>
      </w:r>
    </w:p>
    <w:p>
      <w:pPr>
        <w:pStyle w:val="Heading2"/>
        <w:rPr/>
      </w:pPr>
      <w:r>
        <w:rPr/>
        <w:t>Key factors</w:t>
      </w:r>
    </w:p>
    <w:p>
      <w:pPr>
        <w:pStyle w:val="Normal"/>
        <w:ind w:start="900" w:end="0"/>
        <w:jc w:val="both"/>
        <w:rPr>
          <w:b/>
          <w:i/>
          <w:i/>
          <w:iCs/>
        </w:rPr>
      </w:pPr>
      <w:r>
        <w:rPr>
          <w:b/>
          <w:i/>
          <w:iCs/>
        </w:rPr>
      </w:r>
    </w:p>
    <w:p>
      <w:pPr>
        <w:pStyle w:val="Normal"/>
        <w:numPr>
          <w:ilvl w:val="0"/>
          <w:numId w:val="2"/>
        </w:numPr>
        <w:jc w:val="both"/>
        <w:rPr>
          <w:bCs/>
        </w:rPr>
      </w:pPr>
      <w:r>
        <w:rPr>
          <w:bCs/>
        </w:rPr>
        <w:t>As we are long gamma it is very unlikely that first quarter cash flow will be negative.</w:t>
      </w:r>
    </w:p>
    <w:p>
      <w:pPr>
        <w:pStyle w:val="Normal"/>
        <w:numPr>
          <w:ilvl w:val="0"/>
          <w:numId w:val="2"/>
        </w:numPr>
        <w:jc w:val="both"/>
        <w:rPr>
          <w:bCs/>
        </w:rPr>
      </w:pPr>
      <w:r>
        <w:rPr>
          <w:bCs/>
        </w:rPr>
        <w:t>Our long gamma position is expressed as a long cold over most of the US and Europe position.</w:t>
      </w:r>
    </w:p>
    <w:p>
      <w:pPr>
        <w:pStyle w:val="Normal"/>
        <w:numPr>
          <w:ilvl w:val="0"/>
          <w:numId w:val="2"/>
        </w:numPr>
        <w:jc w:val="both"/>
        <w:rPr>
          <w:bCs/>
        </w:rPr>
      </w:pPr>
      <w:r>
        <w:rPr>
          <w:bCs/>
        </w:rPr>
        <w:t>By focusing less on long-term, long-gamma positions and more on shorter term market making activities, we can help ensure that the group is cash flow positive.</w:t>
      </w:r>
    </w:p>
    <w:p>
      <w:pPr>
        <w:pStyle w:val="Normal"/>
        <w:numPr>
          <w:ilvl w:val="0"/>
          <w:numId w:val="2"/>
        </w:numPr>
        <w:jc w:val="both"/>
        <w:rPr>
          <w:bCs/>
        </w:rPr>
      </w:pPr>
      <w:r>
        <w:rPr>
          <w:bCs/>
        </w:rPr>
        <w:t>Continued origination activity, i.e. the selling of options (with good margins) generates cash. This requires the development, structuring and management of complex, value-added products.</w:t>
      </w:r>
    </w:p>
    <w:p>
      <w:pPr>
        <w:pStyle w:val="Normal"/>
        <w:ind w:hanging="900" w:start="900" w:end="0"/>
        <w:jc w:val="both"/>
        <w:rPr>
          <w:bCs/>
        </w:rPr>
      </w:pPr>
      <w:r>
        <w:rPr>
          <w:bCs/>
        </w:rPr>
      </w:r>
    </w:p>
    <w:p>
      <w:pPr>
        <w:pStyle w:val="Heading3"/>
        <w:ind w:hanging="0" w:end="0"/>
        <w:rPr/>
      </w:pPr>
      <w:r>
        <w:rPr/>
        <w:t>Capital / Balance Sheet</w:t>
      </w:r>
    </w:p>
    <w:p>
      <w:pPr>
        <w:pStyle w:val="Normal"/>
        <w:rPr>
          <w:bCs/>
        </w:rPr>
      </w:pPr>
      <w:r>
        <w:rPr>
          <w:bCs/>
        </w:rPr>
      </w:r>
    </w:p>
    <w:p>
      <w:pPr>
        <w:pStyle w:val="Normal"/>
        <w:ind w:firstLine="720" w:start="180" w:end="0"/>
        <w:rPr/>
      </w:pPr>
      <w:r>
        <w:rPr/>
        <w:tab/>
        <w:t xml:space="preserve">$6.5 million </w:t>
      </w:r>
      <w:hyperlink r:id="rId2">
        <w:r>
          <w:rPr>
            <w:rStyle w:val="Hyperlink"/>
          </w:rPr>
          <w:t>V@R</w:t>
        </w:r>
      </w:hyperlink>
      <w:r>
        <w:rPr/>
        <w:t xml:space="preserve"> for this winter season.  </w:t>
      </w:r>
    </w:p>
    <w:p>
      <w:pPr>
        <w:pStyle w:val="Normal"/>
        <w:ind w:hanging="1440" w:start="2880" w:end="0"/>
        <w:rPr/>
      </w:pPr>
      <w:r>
        <w:rPr/>
        <w:t xml:space="preserve">$2.0 million </w:t>
      </w:r>
      <w:hyperlink r:id="rId3">
        <w:r>
          <w:rPr>
            <w:rStyle w:val="Hyperlink"/>
          </w:rPr>
          <w:t>V@R</w:t>
        </w:r>
      </w:hyperlink>
      <w:r>
        <w:rPr/>
        <w:t xml:space="preserve"> for summer 2002</w:t>
      </w:r>
    </w:p>
    <w:p>
      <w:pPr>
        <w:pStyle w:val="Normal"/>
        <w:ind w:hanging="900" w:start="900" w:end="0"/>
        <w:jc w:val="both"/>
        <w:rPr>
          <w:bCs/>
        </w:rPr>
      </w:pPr>
      <w:r>
        <w:rPr/>
        <w:tab/>
        <w:tab/>
        <w:t xml:space="preserve">$4.5 million </w:t>
      </w:r>
      <w:hyperlink r:id="rId4">
        <w:r>
          <w:rPr>
            <w:rStyle w:val="Hyperlink"/>
          </w:rPr>
          <w:t>V@R</w:t>
        </w:r>
      </w:hyperlink>
      <w:r>
        <w:rPr/>
        <w:t xml:space="preserve"> for winter ‘02/’03</w:t>
      </w:r>
    </w:p>
    <w:p>
      <w:pPr>
        <w:pStyle w:val="Normal"/>
        <w:ind w:hanging="900" w:start="900" w:end="0"/>
        <w:jc w:val="both"/>
        <w:rPr>
          <w:bCs/>
        </w:rPr>
      </w:pPr>
      <w:r>
        <w:rPr>
          <w:bCs/>
        </w:rPr>
      </w:r>
    </w:p>
    <w:p>
      <w:pPr>
        <w:pStyle w:val="Normal"/>
        <w:ind w:hanging="900" w:start="900" w:end="0"/>
        <w:jc w:val="both"/>
        <w:rPr/>
      </w:pPr>
      <w:r>
        <w:rPr>
          <w:bCs/>
        </w:rPr>
        <w:tab/>
        <w:tab/>
        <w:t xml:space="preserve">As a net generator of cash, we will require </w:t>
      </w:r>
      <w:r>
        <w:rPr>
          <w:bCs/>
          <w:u w:val="single"/>
        </w:rPr>
        <w:t>no</w:t>
      </w:r>
      <w:r>
        <w:rPr>
          <w:bCs/>
        </w:rPr>
        <w:t xml:space="preserve"> cash.</w:t>
      </w:r>
    </w:p>
    <w:p>
      <w:pPr>
        <w:pStyle w:val="Normal"/>
        <w:ind w:hanging="900" w:start="900" w:end="0"/>
        <w:jc w:val="both"/>
        <w:rPr>
          <w:bCs/>
        </w:rPr>
      </w:pPr>
      <w:r>
        <w:rPr>
          <w:bCs/>
        </w:rPr>
      </w:r>
    </w:p>
    <w:p>
      <w:pPr>
        <w:pStyle w:val="Heading1"/>
        <w:rPr/>
      </w:pPr>
      <w:r>
        <w:rPr/>
        <w:t xml:space="preserve">People </w:t>
      </w:r>
    </w:p>
    <w:p>
      <w:pPr>
        <w:pStyle w:val="Normal"/>
        <w:rPr/>
      </w:pPr>
      <w:r>
        <w:rPr/>
      </w:r>
    </w:p>
    <w:p>
      <w:pPr>
        <w:pStyle w:val="BodyText"/>
        <w:rPr>
          <w:bCs/>
        </w:rPr>
      </w:pPr>
      <w:r>
        <w:rPr>
          <w:bCs/>
        </w:rPr>
        <w:t>I continue to standby the number of people that I submitted, i.e. 13.  However, please recognize that this is a bare minimum to run a US and European operation.  This also results in the loss of some very talented individuals.</w:t>
      </w:r>
    </w:p>
    <w:p>
      <w:pPr>
        <w:pStyle w:val="Normal"/>
        <w:jc w:val="both"/>
        <w:rPr>
          <w:b/>
          <w:bCs/>
        </w:rPr>
      </w:pPr>
      <w:r>
        <w:rPr>
          <w:b/>
          <w:bCs/>
        </w:rPr>
      </w:r>
    </w:p>
    <w:p>
      <w:pPr>
        <w:pStyle w:val="Normal"/>
        <w:jc w:val="both"/>
        <w:rPr>
          <w:b/>
        </w:rPr>
      </w:pPr>
      <w:r>
        <w:rPr>
          <w:b/>
        </w:rPr>
        <w:t>Point of View</w:t>
      </w:r>
    </w:p>
    <w:p>
      <w:pPr>
        <w:pStyle w:val="Normal"/>
        <w:jc w:val="both"/>
        <w:rPr>
          <w:b/>
        </w:rPr>
      </w:pPr>
      <w:r>
        <w:rPr>
          <w:b/>
        </w:rPr>
      </w:r>
    </w:p>
    <w:p>
      <w:pPr>
        <w:pStyle w:val="Normal"/>
        <w:numPr>
          <w:ilvl w:val="0"/>
          <w:numId w:val="4"/>
        </w:numPr>
        <w:jc w:val="both"/>
        <w:rPr/>
      </w:pPr>
      <w:r>
        <w:rPr/>
        <w:t>For Btu based commodities, supply is driven primarily by infrastructure; demand is driven largely by weather effects, therefore short-term Btu price volatility is strongly influenced by weather.</w:t>
      </w:r>
    </w:p>
    <w:p>
      <w:pPr>
        <w:pStyle w:val="Normal"/>
        <w:jc w:val="both"/>
        <w:rPr/>
      </w:pPr>
      <w:r>
        <w:rPr/>
      </w:r>
    </w:p>
    <w:p>
      <w:pPr>
        <w:pStyle w:val="Normal"/>
        <w:numPr>
          <w:ilvl w:val="0"/>
          <w:numId w:val="4"/>
        </w:numPr>
        <w:jc w:val="both"/>
        <w:rPr/>
      </w:pPr>
      <w:r>
        <w:rPr/>
        <w:t>Understanding how weather derivatives are priced and traded will ultimately be an essential requirement for effectively trading all Btu based commodities.</w:t>
      </w:r>
    </w:p>
    <w:p>
      <w:pPr>
        <w:pStyle w:val="Normal"/>
        <w:jc w:val="both"/>
        <w:rPr/>
      </w:pPr>
      <w:r>
        <w:rPr/>
      </w:r>
    </w:p>
    <w:p>
      <w:pPr>
        <w:pStyle w:val="Normal"/>
        <w:numPr>
          <w:ilvl w:val="0"/>
          <w:numId w:val="4"/>
        </w:numPr>
        <w:jc w:val="both"/>
        <w:rPr/>
      </w:pPr>
      <w:r>
        <w:rPr/>
        <w:t>As both a trader and marketer of energy risk management products it is important to recognize the following</w:t>
      </w:r>
    </w:p>
    <w:p>
      <w:pPr>
        <w:pStyle w:val="Normal"/>
        <w:ind w:start="360" w:end="0"/>
        <w:jc w:val="both"/>
        <w:rPr/>
      </w:pPr>
      <w:r>
        <w:rPr/>
      </w:r>
    </w:p>
    <w:p>
      <w:pPr>
        <w:pStyle w:val="Normal"/>
        <w:numPr>
          <w:ilvl w:val="0"/>
          <w:numId w:val="3"/>
        </w:numPr>
        <w:jc w:val="both"/>
        <w:rPr/>
      </w:pPr>
      <w:r>
        <w:rPr/>
        <w:t>Consumers and producers of energy have both price and volume risk.  In the short-term price and volume risk can be managed with price risk products. However, over longer periods price products alone are not sufficient.  I.e. An independent power producer can buy gas forward, but will not know how much to purchase given the dependecy on the weather.</w:t>
      </w:r>
    </w:p>
    <w:p>
      <w:pPr>
        <w:pStyle w:val="Normal"/>
        <w:numPr>
          <w:ilvl w:val="0"/>
          <w:numId w:val="3"/>
        </w:numPr>
        <w:jc w:val="both"/>
        <w:rPr/>
      </w:pPr>
      <w:r>
        <w:rPr/>
        <w:t xml:space="preserve">A combination of weather and price deriviatives provides a “complete” risk management tool. However, such products are dependent on liquid markets in both commodities. </w:t>
      </w:r>
    </w:p>
    <w:p>
      <w:pPr>
        <w:pStyle w:val="Normal"/>
        <w:jc w:val="both"/>
        <w:rPr/>
      </w:pPr>
      <w:r>
        <w:rPr/>
      </w:r>
    </w:p>
    <w:p>
      <w:pPr>
        <w:pStyle w:val="Normal"/>
        <w:numPr>
          <w:ilvl w:val="0"/>
          <w:numId w:val="4"/>
        </w:numPr>
        <w:jc w:val="both"/>
        <w:rPr/>
      </w:pPr>
      <w:r>
        <w:rPr/>
        <w:t>Market interest in weather derivatives is rapidly expanding. Numerous users of weather risk management products are repeat users: Atmos Energy, Peoples Gas, Madison Gas &amp; Electric, Conectiv, Keyspan, Northeast Utilities, etc… More traders are entering the market all the time: Goldman Sachs, Duetsche Bank, Constellation, Centrica/Accord, TXU, and others.</w:t>
      </w:r>
    </w:p>
    <w:p>
      <w:pPr>
        <w:pStyle w:val="Normal"/>
        <w:jc w:val="both"/>
        <w:rPr/>
      </w:pPr>
      <w:r>
        <w:rPr/>
      </w:r>
    </w:p>
    <w:p>
      <w:pPr>
        <w:pStyle w:val="Heading4"/>
        <w:ind w:hanging="0" w:start="0"/>
        <w:rPr/>
      </w:pPr>
      <w:r>
        <w:rPr/>
        <w:t>Integration with Gas and Power</w:t>
      </w:r>
    </w:p>
    <w:p>
      <w:pPr>
        <w:pStyle w:val="Normal"/>
        <w:jc w:val="both"/>
        <w:rPr/>
      </w:pPr>
      <w:r>
        <w:rPr/>
      </w:r>
    </w:p>
    <w:p>
      <w:pPr>
        <w:pStyle w:val="Normal"/>
        <w:rPr/>
      </w:pPr>
      <w:r>
        <w:rPr/>
        <w:t xml:space="preserve">Since the inception of the weather group, we have traded often with the gas and power desks.  </w:t>
      </w:r>
    </w:p>
    <w:p>
      <w:pPr>
        <w:pStyle w:val="Normal"/>
        <w:rPr/>
      </w:pPr>
      <w:r>
        <w:rPr/>
      </w:r>
    </w:p>
    <w:p>
      <w:pPr>
        <w:pStyle w:val="Normal"/>
        <w:rPr>
          <w:b/>
          <w:bCs/>
          <w:i/>
          <w:i/>
          <w:iCs/>
        </w:rPr>
      </w:pPr>
      <w:r>
        <w:rPr>
          <w:b/>
          <w:bCs/>
          <w:i/>
          <w:iCs/>
        </w:rPr>
        <w:t>Total Settlements:</w:t>
      </w:r>
    </w:p>
    <w:p>
      <w:pPr>
        <w:pStyle w:val="Normal"/>
        <w:rPr/>
      </w:pPr>
      <w:r>
        <w:rPr/>
        <w:tab/>
        <w:t>Gas - $10.5 million</w:t>
      </w:r>
    </w:p>
    <w:p>
      <w:pPr>
        <w:pStyle w:val="Normal"/>
        <w:jc w:val="both"/>
        <w:rPr/>
      </w:pPr>
      <w:r>
        <w:rPr/>
        <w:tab/>
        <w:t>Power - $4.8 million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620"/>
        </w:tabs>
        <w:ind w:start="1620" w:hanging="360"/>
      </w:pPr>
      <w:rPr>
        <w:rFonts w:ascii="Symbol" w:hAnsi="Symbol" w:cs="Symbol" w:hint="default"/>
      </w:r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mic Sans MS" w:hAnsi="Comic Sans MS" w:eastAsia="Times New Roman" w:cs="Comic Sans MS"/>
      <w:color w:val="auto"/>
      <w:sz w:val="22"/>
      <w:szCs w:val="20"/>
      <w:lang w:val="en-US" w:bidi="ar-SA" w:eastAsia="zh-CN"/>
    </w:rPr>
  </w:style>
  <w:style w:type="paragraph" w:styleId="Heading1">
    <w:name w:val="heading 1"/>
    <w:basedOn w:val="Normal"/>
    <w:next w:val="Normal"/>
    <w:qFormat/>
    <w:pPr>
      <w:keepNext w:val="true"/>
      <w:numPr>
        <w:ilvl w:val="0"/>
        <w:numId w:val="1"/>
      </w:numPr>
      <w:ind w:hanging="900" w:start="900" w:end="0"/>
      <w:jc w:val="both"/>
      <w:outlineLvl w:val="0"/>
    </w:pPr>
    <w:rPr>
      <w:b/>
    </w:rPr>
  </w:style>
  <w:style w:type="paragraph" w:styleId="Heading2">
    <w:name w:val="heading 2"/>
    <w:basedOn w:val="Normal"/>
    <w:next w:val="Normal"/>
    <w:qFormat/>
    <w:pPr>
      <w:keepNext w:val="true"/>
      <w:numPr>
        <w:ilvl w:val="1"/>
        <w:numId w:val="1"/>
      </w:numPr>
      <w:ind w:hanging="0" w:start="900" w:end="0"/>
      <w:jc w:val="both"/>
      <w:outlineLvl w:val="1"/>
    </w:pPr>
    <w:rPr>
      <w:b/>
      <w:i/>
      <w:iCs/>
    </w:rPr>
  </w:style>
  <w:style w:type="paragraph" w:styleId="Heading3">
    <w:name w:val="heading 3"/>
    <w:basedOn w:val="Normal"/>
    <w:next w:val="Normal"/>
    <w:qFormat/>
    <w:pPr>
      <w:keepNext w:val="true"/>
      <w:numPr>
        <w:ilvl w:val="2"/>
        <w:numId w:val="1"/>
      </w:numPr>
      <w:ind w:hanging="900" w:start="900" w:end="0"/>
      <w:jc w:val="both"/>
      <w:outlineLvl w:val="2"/>
    </w:pPr>
    <w:rPr>
      <w:b/>
      <w:i/>
      <w:iCs/>
    </w:rPr>
  </w:style>
  <w:style w:type="paragraph" w:styleId="Heading4">
    <w:name w:val="heading 4"/>
    <w:basedOn w:val="Normal"/>
    <w:next w:val="Normal"/>
    <w:qFormat/>
    <w:pPr>
      <w:keepNext w:val="true"/>
      <w:numPr>
        <w:ilvl w:val="3"/>
        <w:numId w:val="1"/>
      </w:numPr>
      <w:jc w:val="both"/>
      <w:outlineLvl w:val="3"/>
    </w:pPr>
    <w:rPr>
      <w:b/>
      <w:bC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R" TargetMode="External"/><Relationship Id="rId3" Type="http://schemas.openxmlformats.org/officeDocument/2006/relationships/hyperlink" Target="mailto:V@R" TargetMode="External"/><Relationship Id="rId4" Type="http://schemas.openxmlformats.org/officeDocument/2006/relationships/hyperlink" Target="mailto:V@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2001-11-14T21:04:00Z</dcterms:created>
  <dc:creator>Mark R Tawney</dc:creator>
  <dc:description/>
  <dc:language>en-CA</dc:language>
  <cp:lastModifiedBy>mtawney</cp:lastModifiedBy>
  <cp:lastPrinted>2000-08-03T11:45:00Z</cp:lastPrinted>
  <dcterms:modified xsi:type="dcterms:W3CDTF">2001-11-14T21:04:00Z</dcterms:modified>
  <cp:revision>2</cp:revision>
  <dc:subject/>
  <dc:title>Point of View</dc:title>
</cp:coreProperties>
</file>