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Heading1"/>
        <w:ind w:hanging="0" w:start="0"/>
        <w:rPr/>
      </w:pPr>
      <w:r>
        <w:rPr/>
        <w:t>Richard E. Lowell</w:t>
      </w:r>
    </w:p>
    <w:p>
      <w:pPr>
        <w:pStyle w:val="Normal"/>
        <w:rPr>
          <w:sz w:val="24"/>
        </w:rPr>
      </w:pPr>
      <w:r>
        <w:rPr>
          <w:sz w:val="24"/>
        </w:rPr>
        <w:t>XXXXX</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Dear Mr. Lowell:</w:t>
      </w:r>
    </w:p>
    <w:p>
      <w:pPr>
        <w:pStyle w:val="Normal"/>
        <w:rPr>
          <w:sz w:val="24"/>
        </w:rPr>
      </w:pPr>
      <w:r>
        <w:rPr>
          <w:sz w:val="24"/>
        </w:rPr>
      </w:r>
    </w:p>
    <w:p>
      <w:pPr>
        <w:pStyle w:val="Normal"/>
        <w:rPr>
          <w:sz w:val="24"/>
        </w:rPr>
      </w:pPr>
      <w:r>
        <w:rPr>
          <w:sz w:val="24"/>
        </w:rPr>
        <w:tab/>
        <w:t>I am writing to clarify Enron’s policy and to review some incorrect assertions regarding the events surrounding deal numbers 483089 and 483092. Furthermore I will address the concerns levied by you regarding the limited information you provided regarding Mieco Inc.’s transactions on June 1, 2000.</w:t>
      </w:r>
    </w:p>
    <w:p>
      <w:pPr>
        <w:pStyle w:val="Normal"/>
        <w:rPr/>
      </w:pPr>
      <w:r>
        <w:rPr>
          <w:sz w:val="24"/>
        </w:rPr>
        <w:tab/>
        <w:t xml:space="preserve">First, let me address inaccuracies. The trader at Enron called and immediately disputed the trades by stating these were obviously erroneous transactions. There is no other way to look at it. The trader at Enron did </w:t>
      </w:r>
      <w:r>
        <w:rPr>
          <w:i/>
          <w:sz w:val="24"/>
        </w:rPr>
        <w:t>not</w:t>
      </w:r>
      <w:r>
        <w:rPr>
          <w:sz w:val="24"/>
        </w:rPr>
        <w:t xml:space="preserve"> offer to buy back the trades. He offered buying Gas Daily Waha swap at the refrenced prices for deals 483089 and 483092, the fixed price market at the time of the obviously intended trades. Furthermore, the trader at Mieco Inc. did </w:t>
      </w:r>
      <w:r>
        <w:rPr>
          <w:i/>
          <w:sz w:val="24"/>
        </w:rPr>
        <w:t xml:space="preserve">not </w:t>
      </w:r>
      <w:r>
        <w:rPr>
          <w:sz w:val="24"/>
        </w:rPr>
        <w:t>respond that he was “happy” with the trades. He would not discuss the issue with the exception of stating that he was “reviewing his options”. At stated prior, Mieco Inc. has been active in the Waha recent to the events. The “recent volatility” you mentioned is not evident whatsoever in examining the Waha to Henry Hub spreads. Additionally, if the deals numbered 483089 and 483092 were “in the market” as you suggest, why did Mieco Inc. not continue to take advantage of the arbitrage when EnronOnline was showing a 5.01 bid? The answer is of course simple: The trader and Mieco Inc. knew that the transactions did not represent a legitimate market. Finally, in response to your inquiry regarding a mistake made by counterparties on EnronOnline. Enron honors all transactions made on a legitimate market. If an Enron Trader made an error on a spread of ten, twenty, or thirty percent and was arbitraged, the trade would stand. In contrast to this situation, the error on the part of Enron would represent a legitimate market. Deals 483089 and 483092 are not ten, twenty, or thirty percent off. An error of one hundred percent on a spread transaction in this case would have been five cents. The error in question represents one of approximately 10,000%. As previously mentioned, there are no enforceable trades.</w:t>
      </w:r>
    </w:p>
    <w:p>
      <w:pPr>
        <w:pStyle w:val="Normal"/>
        <w:rPr>
          <w:sz w:val="24"/>
        </w:rPr>
      </w:pPr>
      <w:r>
        <w:rPr>
          <w:sz w:val="24"/>
        </w:rPr>
        <w:tab/>
        <w:t>Your mention of events on June 1, 2000, refers to deals and transactions which you did not specifically reference, and thus the situation is difficult to reference. If you provide deal numbers, names, locations and details of the events, I will happily have someone research the events. However, two fundamental issues regarding the details of the transactions will have to be examined. Firstly, was the “July-October swing spread” mentioned transacted on a level consistent with other market “July-October swing spread” trades done at the time? If so, it should be considered a valid transaction. If the transaction level was not consistent in price with other “July-October swing spread” trades done at the same time, then Enron will reexamine the transaction. Finally, Mieco Inc. trades actively on EnronOnline on a variety of different products. If Mieco Inc. did a series of trades on the “Nymex-November” product, and then did a trade on the “Nymex-December” product, should a representative from EnronOnline call Mieco Inc. and “double-check” with Mieco Inc. to make sure they “clicked” on the right product? -Of course not.  The mere suggestion is a discredit to Mieco Inc.  Mieco Inc. was well aware of the legitimate market for deal numbers 483089 and 483092, and a comparison of these transactions versus the events of June 1, 2000 bears no similarities.</w:t>
      </w:r>
    </w:p>
    <w:p>
      <w:pPr>
        <w:pStyle w:val="Normal"/>
        <w:rPr>
          <w:sz w:val="24"/>
        </w:rPr>
      </w:pPr>
      <w:r>
        <w:rPr>
          <w:sz w:val="24"/>
        </w:rPr>
        <w:tab/>
        <w:t>I hope the further examination regarding deals 483089 and 483092 has cleared up some of the erroneous items mentioned in your letter dated October 13, 2000.  If I can be of assistance regarding the transactions on June 1, 2000, please let me know.</w:t>
      </w:r>
    </w:p>
    <w:p>
      <w:pPr>
        <w:pStyle w:val="Normal"/>
        <w:rPr>
          <w:sz w:val="24"/>
        </w:rPr>
      </w:pPr>
      <w:r>
        <w:rPr>
          <w:sz w:val="24"/>
        </w:rPr>
      </w:r>
    </w:p>
    <w:p>
      <w:pPr>
        <w:pStyle w:val="Normal"/>
        <w:rPr>
          <w:sz w:val="24"/>
        </w:rPr>
      </w:pPr>
      <w:r>
        <w:rPr>
          <w:sz w:val="24"/>
        </w:rPr>
        <w:t>Richard XXXXXX</w:t>
      </w:r>
    </w:p>
    <w:p>
      <w:pPr>
        <w:pStyle w:val="Normal"/>
        <w:rPr>
          <w:sz w:val="24"/>
        </w:rPr>
      </w:pPr>
      <w:r>
        <w:rPr>
          <w:sz w:val="24"/>
        </w:rPr>
      </w:r>
    </w:p>
    <w:p>
      <w:pPr>
        <w:pStyle w:val="Normal"/>
        <w:rPr>
          <w:sz w:val="24"/>
        </w:rPr>
      </w:pPr>
      <w:r>
        <w:rPr>
          <w:sz w:val="24"/>
        </w:rPr>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2000-10-25T19:02:00Z</dcterms:created>
  <dc:creator>cmetz</dc:creator>
  <dc:description/>
  <dc:language>en-CA</dc:language>
  <cp:lastModifiedBy>cmetz</cp:lastModifiedBy>
  <dcterms:modified xsi:type="dcterms:W3CDTF">2000-10-25T21:04:00Z</dcterms:modified>
  <cp:revision>12</cp:revision>
  <dc:subject/>
  <dc:title>Richard E</dc:title>
</cp:coreProperties>
</file>