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rPr>
      </w:pPr>
      <w:r>
        <w:rPr>
          <w:sz w:val="24"/>
        </w:rPr>
        <w:t>BEFORE THE FEDERAL ENERGY REGULATORY COMMISSION</w:t>
      </w:r>
    </w:p>
    <w:p>
      <w:pPr>
        <w:pStyle w:val="Normal"/>
        <w:ind w:firstLine="1440" w:end="0"/>
        <w:jc w:val="center"/>
        <w:rPr>
          <w:sz w:val="24"/>
        </w:rPr>
      </w:pPr>
      <w:r>
        <w:rPr>
          <w:sz w:val="24"/>
        </w:rPr>
      </w:r>
    </w:p>
    <w:p>
      <w:pPr>
        <w:pStyle w:val="Normal"/>
        <w:ind w:firstLine="1440" w:end="0"/>
        <w:jc w:val="center"/>
        <w:rPr>
          <w:sz w:val="24"/>
        </w:rPr>
      </w:pPr>
      <w:r>
        <w:rPr>
          <w:sz w:val="24"/>
        </w:rPr>
      </w:r>
    </w:p>
    <w:p>
      <w:pPr>
        <w:pStyle w:val="Normal"/>
        <w:ind w:firstLine="1440" w:end="0"/>
        <w:jc w:val="center"/>
        <w:rPr>
          <w:sz w:val="24"/>
        </w:rPr>
      </w:pPr>
      <w:r>
        <w:rPr>
          <w:sz w:val="24"/>
        </w:rPr>
      </w:r>
    </w:p>
    <w:p>
      <w:pPr>
        <w:pStyle w:val="Heading1"/>
        <w:tabs>
          <w:tab w:val="clear" w:pos="720"/>
          <w:tab w:val="left" w:pos="3960" w:leader="none"/>
        </w:tabs>
        <w:ind w:hanging="0" w:start="0"/>
        <w:rPr/>
      </w:pPr>
      <w:r>
        <w:rPr/>
        <w:t>Midwestern Gas Transmission Company</w:t>
        <w:tab/>
        <w:tab/>
        <w:t>)</w:t>
        <w:tab/>
        <w:tab/>
        <w:t>Docket No. RP00-467-000</w:t>
      </w:r>
    </w:p>
    <w:p>
      <w:pPr>
        <w:pStyle w:val="Heading2"/>
        <w:ind w:hanging="0" w:start="0"/>
        <w:rPr/>
      </w:pPr>
      <w:r>
        <w:rPr/>
      </w:r>
    </w:p>
    <w:p>
      <w:pPr>
        <w:pStyle w:val="Heading2"/>
        <w:ind w:hanging="0" w:start="0"/>
        <w:rPr/>
      </w:pPr>
      <w:r>
        <w:rPr/>
      </w:r>
    </w:p>
    <w:p>
      <w:pPr>
        <w:pStyle w:val="Heading2"/>
        <w:ind w:hanging="0" w:start="0"/>
        <w:rPr/>
      </w:pPr>
      <w:r>
        <w:rPr/>
        <w:t>MOTION FOR LEAVE TO INTERVENE, PROTEST,</w:t>
      </w:r>
    </w:p>
    <w:p>
      <w:pPr>
        <w:pStyle w:val="Heading2"/>
        <w:ind w:hanging="0" w:start="0"/>
        <w:rPr/>
      </w:pPr>
      <w:r>
        <w:rPr/>
        <w:t xml:space="preserve">COMMENTS, AND </w:t>
      </w:r>
      <w:r>
        <w:rPr>
          <w:caps/>
        </w:rPr>
        <w:t>REQUEST FOR TECHNICAL CONFERENCE</w:t>
      </w:r>
    </w:p>
    <w:p>
      <w:pPr>
        <w:pStyle w:val="Heading2"/>
        <w:ind w:hanging="0" w:start="0"/>
        <w:rPr>
          <w:caps/>
        </w:rPr>
      </w:pPr>
      <w:r>
        <w:rPr>
          <w:caps/>
        </w:rPr>
        <w:t>of Enron North America CORP.</w:t>
      </w:r>
    </w:p>
    <w:p>
      <w:pPr>
        <w:pStyle w:val="Heading2"/>
        <w:ind w:hanging="0" w:start="0"/>
        <w:rPr>
          <w:caps/>
        </w:rPr>
      </w:pPr>
      <w:r>
        <w:rPr>
          <w:caps/>
        </w:rPr>
        <w:t>On Compliance Filing</w:t>
      </w:r>
    </w:p>
    <w:p>
      <w:pPr>
        <w:pStyle w:val="Normal"/>
        <w:rPr>
          <w:caps/>
        </w:rPr>
      </w:pPr>
      <w:r>
        <w:rPr>
          <w:caps/>
        </w:rPr>
      </w:r>
    </w:p>
    <w:p>
      <w:pPr>
        <w:pStyle w:val="BodyText"/>
        <w:tabs>
          <w:tab w:val="clear" w:pos="720"/>
          <w:tab w:val="left" w:pos="1440" w:leader="none"/>
        </w:tabs>
        <w:ind w:firstLine="1440" w:end="0"/>
        <w:rPr/>
      </w:pPr>
      <w:r>
        <w:rPr/>
      </w:r>
    </w:p>
    <w:p>
      <w:pPr>
        <w:pStyle w:val="BodyText"/>
        <w:tabs>
          <w:tab w:val="clear" w:pos="720"/>
          <w:tab w:val="left" w:pos="1440" w:leader="none"/>
        </w:tabs>
        <w:ind w:firstLine="1440" w:end="0"/>
        <w:rPr/>
      </w:pPr>
      <w:r>
        <w:rPr/>
        <w:t>In Order No. 637 et seq.</w:t>
      </w:r>
      <w:r>
        <w:rPr>
          <w:rStyle w:val="FootnoteCharacters"/>
          <w:rStyle w:val="FootnoteReference"/>
        </w:rPr>
        <w:footnoteReference w:id="2"/>
      </w:r>
      <w:r>
        <w:rPr/>
        <w:t>, the Federal Energy Regulatory Commission (“Commission”) issued regulations intended to foster the competitiveness and efficiency of the interstate natural gas pipeline grid.  That order required jurisdictional pipelines to make compliance filings that effectuated the changes adopted in Order No. 637.  Enron North America Corp. (“ENA”) hereby files its motion for leave to intervene, comments, and request for technical conference on the compliance filing of Midwestern Gas Transmission Company (“Midwestern”) in the above captioned-docket.</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t>I.</w:t>
      </w:r>
    </w:p>
    <w:p>
      <w:pPr>
        <w:pStyle w:val="Normal"/>
        <w:tabs>
          <w:tab w:val="clear" w:pos="720"/>
          <w:tab w:val="left" w:pos="1440" w:leader="none"/>
          <w:tab w:val="left" w:pos="3600" w:leader="none"/>
          <w:tab w:val="left" w:pos="4320" w:leader="none"/>
          <w:tab w:val="left" w:pos="5040" w:leader="none"/>
          <w:tab w:val="left" w:pos="5856" w:leader="none"/>
        </w:tabs>
        <w:jc w:val="center"/>
        <w:rPr>
          <w:b/>
          <w:sz w:val="24"/>
        </w:rPr>
      </w:pPr>
      <w:r>
        <w:rPr>
          <w:b/>
          <w:sz w:val="24"/>
        </w:rPr>
      </w:r>
    </w:p>
    <w:p>
      <w:pPr>
        <w:pStyle w:val="Heading3"/>
        <w:ind w:hanging="0" w:start="0"/>
        <w:rPr/>
      </w:pPr>
      <w:r>
        <w:rPr/>
        <w:t>INTERVENTION</w:t>
      </w:r>
    </w:p>
    <w:p>
      <w:pPr>
        <w:pStyle w:val="BodyText"/>
        <w:tabs>
          <w:tab w:val="clear" w:pos="720"/>
          <w:tab w:val="left" w:pos="1440" w:leader="none"/>
          <w:tab w:val="left" w:pos="3600" w:leader="none"/>
          <w:tab w:val="left" w:pos="4320" w:leader="none"/>
          <w:tab w:val="left" w:pos="5040" w:leader="none"/>
          <w:tab w:val="left" w:pos="5856" w:leader="none"/>
        </w:tabs>
        <w:ind w:firstLine="1440" w:end="0"/>
        <w:rPr/>
      </w:pPr>
      <w:r>
        <w:rPr/>
        <w:t>ENA is comprised of a number of companies which are subsidiaries of Enron Corp.  In the natural gas industry, ENA's activities include buying and selling natural gas in North America, providing a broad array of services to gas producers, offering price hedging and risk management services to gas buyers and sellers, and offering producers and other market participants various financing options.  The ENA companies purchase and sell over 12.7 BBtue per day under a mix of spot, intermediate and long-term contracts with both fixed and indexed pricing structures.</w:t>
      </w:r>
    </w:p>
    <w:p>
      <w:pPr>
        <w:pStyle w:val="BodyText"/>
        <w:tabs>
          <w:tab w:val="clear" w:pos="720"/>
          <w:tab w:val="left" w:pos="1440" w:leader="none"/>
        </w:tabs>
        <w:ind w:firstLine="1440" w:end="0"/>
        <w:rPr/>
      </w:pPr>
      <w:r>
        <w:rPr/>
        <w:t>As a shipper and marketer of natural gas, the ENA companies have an interest which may be directly affected by the outcome in these proceedings.  Moreover, ENA’s interests cannot be adequately represented by any other party to these proceedings, and ENA’s participation in these proceedings will be in the public interest.</w:t>
      </w:r>
    </w:p>
    <w:p>
      <w:pPr>
        <w:pStyle w:val="BodyText"/>
        <w:tabs>
          <w:tab w:val="clear" w:pos="720"/>
          <w:tab w:val="left" w:pos="1440" w:leader="none"/>
        </w:tabs>
        <w:jc w:val="center"/>
        <w:rPr>
          <w:b/>
        </w:rPr>
      </w:pPr>
      <w:r>
        <w:rPr>
          <w:b/>
        </w:rPr>
        <w:t>II.</w:t>
      </w:r>
    </w:p>
    <w:p>
      <w:pPr>
        <w:pStyle w:val="BodyText"/>
        <w:tabs>
          <w:tab w:val="clear" w:pos="720"/>
          <w:tab w:val="left" w:pos="1440" w:leader="none"/>
        </w:tabs>
        <w:jc w:val="center"/>
        <w:rPr>
          <w:b/>
        </w:rPr>
      </w:pPr>
      <w:r>
        <w:rPr>
          <w:b/>
        </w:rPr>
        <w:t>PROTEST AND COMMENTS</w:t>
      </w:r>
    </w:p>
    <w:p>
      <w:pPr>
        <w:pStyle w:val="BodyText"/>
        <w:tabs>
          <w:tab w:val="clear" w:pos="720"/>
          <w:tab w:val="left" w:pos="1440" w:leader="none"/>
        </w:tabs>
        <w:ind w:firstLine="1440" w:end="0"/>
        <w:rPr/>
      </w:pPr>
      <w:r>
        <w:rPr/>
        <w:t>On August 15, 2000, Midwestern filed pro forma tariff sheets in compliance with Order No. 637.  The filing is lengthy and detailed, and ENA has identified three areas of concern:  new rates applicable to changing the status of a secondary point to a primary point; changes to daily balancing service; and a new OBA transportation service.  It may be that these concerns can best be addressed through a technical conference, and ENA requests that a conference be convened before the Commission acts on this protest.</w:t>
      </w:r>
    </w:p>
    <w:p>
      <w:pPr>
        <w:pStyle w:val="BodyText"/>
        <w:tabs>
          <w:tab w:val="clear" w:pos="720"/>
          <w:tab w:val="left" w:pos="1440" w:leader="none"/>
        </w:tabs>
        <w:ind w:firstLine="1440" w:end="0"/>
        <w:rPr/>
      </w:pPr>
      <w:r>
        <w:rPr/>
      </w:r>
    </w:p>
    <w:p>
      <w:pPr>
        <w:pStyle w:val="Normal"/>
        <w:numPr>
          <w:ilvl w:val="0"/>
          <w:numId w:val="2"/>
        </w:numPr>
        <w:tabs>
          <w:tab w:val="clear" w:pos="720"/>
        </w:tabs>
        <w:spacing w:lineRule="auto" w:line="480"/>
        <w:ind w:hanging="0" w:start="0" w:end="0"/>
        <w:jc w:val="both"/>
        <w:rPr>
          <w:sz w:val="24"/>
        </w:rPr>
      </w:pPr>
      <w:r>
        <w:rPr>
          <w:sz w:val="24"/>
          <w:u w:val="single"/>
        </w:rPr>
        <w:t>Elevation of Point Status</w:t>
      </w:r>
    </w:p>
    <w:p>
      <w:pPr>
        <w:pStyle w:val="Normal"/>
        <w:spacing w:lineRule="auto" w:line="480"/>
        <w:ind w:firstLine="1440" w:end="0"/>
        <w:jc w:val="both"/>
        <w:rPr/>
      </w:pPr>
      <w:r>
        <w:rPr>
          <w:sz w:val="24"/>
        </w:rPr>
        <w:t xml:space="preserve">In Order No. 637, the Commission stated that the pipeline should permit a shipper that is releasing a portion of its capacity path to a third party to elevate the point of segmentation from secondary to primary point status.  Midwestern has implemented this provision, subjecting the “point elevation” to both a net-present-value open season and to an additional demand rate of $1.00/dth and an additional commodity rate set at the 100% load factor rate minus the $1.00 demand rate.  Midwestern’s justification for this rate structure is to deter hoarding of capacity and to compensate Midwestern for the “additional non-contractual holding and usage of primary capacity”.  ENA objects to this proposed rate structure.  Midwestern’s claim that the new rate is needed to prevent hoarding seems misplaced.  Before the shipper can elevate the status of a segment-point, the capacity at the point will be subject to the net-present-value open season.  A party cannot “hoard” capacity if it is available to the highest bidder.  Midwestern’s second reason for the new rate – to compensate it for “non-contractual holding and usage of primary capacity” – is equally strained.  Midwestern does not describe what the additional costs it incurs are that are due to point elevation.  ENA submits that since the Replacement Shipper is already paying its bid demand rate plus Midwestern’s full commodity rate </w:t>
      </w:r>
      <w:r>
        <w:rPr>
          <w:sz w:val="24"/>
          <w:u w:val="single"/>
        </w:rPr>
        <w:t>and</w:t>
      </w:r>
      <w:r>
        <w:rPr>
          <w:sz w:val="24"/>
        </w:rPr>
        <w:t xml:space="preserve"> the Releasing Shipper is paying its contract demand rate less the bid demand rate, Midwestern is being fully compensated for the use of its system.  If either or both the Releasing and Replacement Shipper choose to redesignate a segment point as primary, there is no apparent justification for paying either an additional demand rate or an additional commodity rate.</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In addition, ENA objects to Midwestern’s provision that it may re-post the capacity as available if the shippers do not utilize the incremental primary point capacity for thirty consecutive days.  This provision is much too restrictive.  Midwestern states that its proposal would further deter hoarding.  However, there are commonplace situations where a shipper would not use a delivery or receipt point for a 30-day period of time for business reasons that are far from nefarious.  A plant may be down, or production may be shut in.  A customer with dual-fuel capability might make an economic decision to burn an alternate fuel for some period.  If a shipper has an incremental primary point in its service agreement for segmented capacity and it is not using that point, so long as no other shipper has requested that point, ENA sees no harm in allowing the shipper to retain that point.  That said, a rule that requires a shipper to use a point or lose it might be less objectionable if the time frame for the lack of use was much longer than 30 days.  Since many arrangements are seasonal, the time period to trigger the “lose it” provision should be one year, so that usage can reflect any seasonal deal that required the shipper to use that particular segmented primary point.</w:t>
      </w:r>
    </w:p>
    <w:p>
      <w:pPr>
        <w:pStyle w:val="Normal"/>
        <w:spacing w:lineRule="auto" w:line="480"/>
        <w:ind w:firstLine="1440" w:end="0"/>
        <w:jc w:val="both"/>
        <w:rPr>
          <w:sz w:val="24"/>
        </w:rPr>
      </w:pPr>
      <w:r>
        <w:rPr>
          <w:sz w:val="24"/>
        </w:rPr>
      </w:r>
    </w:p>
    <w:p>
      <w:pPr>
        <w:pStyle w:val="Normal"/>
        <w:numPr>
          <w:ilvl w:val="0"/>
          <w:numId w:val="2"/>
        </w:numPr>
        <w:tabs>
          <w:tab w:val="clear" w:pos="720"/>
        </w:tabs>
        <w:spacing w:lineRule="auto" w:line="480"/>
        <w:ind w:hanging="0" w:start="0" w:end="0"/>
        <w:jc w:val="both"/>
        <w:rPr>
          <w:sz w:val="24"/>
        </w:rPr>
      </w:pPr>
      <w:r>
        <w:rPr>
          <w:sz w:val="24"/>
          <w:u w:val="single"/>
        </w:rPr>
        <w:t>Daily Balancing Service</w:t>
      </w:r>
    </w:p>
    <w:p>
      <w:pPr>
        <w:pStyle w:val="Normal"/>
        <w:spacing w:lineRule="auto" w:line="480"/>
        <w:ind w:firstLine="1440" w:end="0"/>
        <w:jc w:val="both"/>
        <w:rPr>
          <w:sz w:val="24"/>
        </w:rPr>
      </w:pPr>
      <w:r>
        <w:rPr>
          <w:sz w:val="24"/>
        </w:rPr>
        <w:t>Currently, Midwestern can assess a Daily Variance Charge ("DVC") against a shipper for that portion of an imbalance that exceeds the Daily Variance Tolerance of ±10% of scheduled quantities or 500dth, whichever is greater.  The DVC is $0.0687/dth and $0.3410/dth under Rate Schedules FT-A and FT-GS, respectively.  Midwestern proposes to eliminate this imbalance charge and to provide in its stead a Daily Balancing Service (“DBS”).  This service will be provided by automatic allocation to DBS of all volumes above a customer’s Daily Swing Tolerance (“DST”), which is to be ±5% of scheduled quantities or 500 dth, whichever is greater.  Thus Midwestern’s proposal has just halved the daily swing tolerance from its current 10% level.  While Midwestern does present some data, which it asserts support the tightening of the DVT, ENA believes that this is an area that imposes more rigorous and costly duties on a shipper and should be explored in a technical conference to see if there are less severe ways to manage the perceived problem.</w:t>
      </w:r>
    </w:p>
    <w:p>
      <w:pPr>
        <w:pStyle w:val="Normal"/>
        <w:spacing w:lineRule="auto" w:line="480"/>
        <w:ind w:firstLine="1440" w:end="0"/>
        <w:jc w:val="both"/>
        <w:rPr>
          <w:sz w:val="24"/>
        </w:rPr>
      </w:pPr>
      <w:r>
        <w:rPr>
          <w:sz w:val="24"/>
        </w:rPr>
      </w:r>
    </w:p>
    <w:p>
      <w:pPr>
        <w:pStyle w:val="Normal"/>
        <w:spacing w:lineRule="auto" w:line="480"/>
        <w:ind w:firstLine="1440" w:end="0"/>
        <w:jc w:val="both"/>
        <w:rPr/>
      </w:pPr>
      <w:r>
        <w:rPr>
          <w:sz w:val="24"/>
        </w:rPr>
        <w:t xml:space="preserve">ENA also has concerns over how the DBS account will be charged the appropriate fees.  Midwestern states that the DBS rate ($0.3695/dth) will be charged </w:t>
      </w:r>
      <w:r>
        <w:rPr>
          <w:sz w:val="24"/>
          <w:u w:val="single"/>
        </w:rPr>
        <w:t>until</w:t>
      </w:r>
      <w:r>
        <w:rPr>
          <w:sz w:val="24"/>
        </w:rPr>
        <w:t xml:space="preserve"> either (1) an offsetting balance is allocated to the DBS account; (2) the customer transfers the balance to another imbalance resolution option; or (3) until the end of the month when the total imbalance is cashed out.  However, discussion (at p. 15 of Appendix B) indicates that if a shipper arranges with a Swing Provider to use that provider’s unused DST, the customer’s balance allocation and associated charges will be removed.  ENA would like clarification to the effect that this is (or is not) the only way to completely remove the DBS charge.  ENA is also concerned that the DBS proposal could cause a shipper to be charged multiple charges (at $0.0687/dth per day) for the same one-day imbalance that would, under the current tariff, be charged one fee of $0.0687/dth (for FT</w:t>
        <w:noBreakHyphen/>
        <w:t>A).  This application of multiple charges for a single imbalance on a given day should also be clarified.</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It appears that Midwestern’s proposed DBS is a move toward tighter daily tolerances and increased penalties.  ENA maintains that such a step requires strict scrutiny and clear justification, both from operational and economic viewpoints.  Midwestern’s new DBS should not be adopted without a clear showing of its need, which is not provided in the compliance filing.</w:t>
      </w:r>
    </w:p>
    <w:p>
      <w:pPr>
        <w:pStyle w:val="Normal"/>
        <w:spacing w:lineRule="auto" w:line="480"/>
        <w:ind w:firstLine="1440" w:end="0"/>
        <w:jc w:val="both"/>
        <w:rPr>
          <w:sz w:val="24"/>
        </w:rPr>
      </w:pPr>
      <w:r>
        <w:rPr>
          <w:sz w:val="24"/>
        </w:rPr>
      </w:r>
    </w:p>
    <w:p>
      <w:pPr>
        <w:pStyle w:val="Normal"/>
        <w:keepNext w:val="true"/>
        <w:numPr>
          <w:ilvl w:val="0"/>
          <w:numId w:val="2"/>
        </w:numPr>
        <w:tabs>
          <w:tab w:val="clear" w:pos="720"/>
        </w:tabs>
        <w:spacing w:lineRule="auto" w:line="480"/>
        <w:ind w:hanging="0" w:start="0" w:end="0"/>
        <w:jc w:val="both"/>
        <w:rPr>
          <w:sz w:val="24"/>
        </w:rPr>
      </w:pPr>
      <w:r>
        <w:rPr>
          <w:sz w:val="24"/>
          <w:u w:val="single"/>
        </w:rPr>
        <w:t>OBA Transportation Service</w:t>
      </w:r>
    </w:p>
    <w:p>
      <w:pPr>
        <w:pStyle w:val="Normal"/>
        <w:spacing w:lineRule="auto" w:line="480"/>
        <w:ind w:firstLine="1440" w:end="0"/>
        <w:jc w:val="both"/>
        <w:rPr>
          <w:sz w:val="24"/>
        </w:rPr>
      </w:pPr>
      <w:r>
        <w:rPr>
          <w:sz w:val="24"/>
        </w:rPr>
        <w:t>Midwestern currently deals with a shipper that exceeds its delivery point transportation entitlement by issuing an OFO establishing a Daily Limit.  The shipper is then subject to an unauthorized overrun penalty of $15 plus the $15 OFO penalty if it takes gas in excess of the Daily Limit.  Under Order No. 637, this penalty would be credited back to customers.  Midwestern proposes to remove the unauthorized overrun penalty and implement a new “OBA Transportation Service” (“OTS”).  OTS would allow a balancing party to take unscheduled quantities up to its Daily Swing Quantity (“DSQ”), which is the sum of the unscheduled capacity on contracts with primary firm capacity at delivery points covered by the OBA.  For such overtakes up to the DSQ, Midwestern would assess only the Transportation Component currently assessed on deliveries in excess of scheduled quantities pursuant to Section 6(b) of Rate Schedule LMS-MA.  At delivery meters where there is no active flow control, a balancing party may take in excess of its DSQ, and Midwestern will assess an “interruptible transportation charge” for such overtakes.  Where the balancing party overtakes in excess of its DSQ but below its DST, Midwestern would assess a “transportation charge” equal to the maximum authorized overrun rate minus the FT-A or FT-GS commodity rate.  Where the balancing party overtakes in excess of both the DSQ and the DST, Midwestern would assess a “transportation charge” equal to 120% of the maximum authorized overrun rate minus the FT-A or FT-GS commodity rate.  ENA submits that OTS is still an unauthorized overrun penalty, and thus should be subject to crediting.</w:t>
      </w:r>
    </w:p>
    <w:p>
      <w:pPr>
        <w:pStyle w:val="Normal"/>
        <w:spacing w:lineRule="auto" w:line="480"/>
        <w:ind w:firstLine="1440" w:end="0"/>
        <w:jc w:val="both"/>
        <w:rPr>
          <w:sz w:val="24"/>
        </w:rPr>
      </w:pPr>
      <w:r>
        <w:rPr>
          <w:sz w:val="24"/>
        </w:rPr>
      </w:r>
    </w:p>
    <w:p>
      <w:pPr>
        <w:pStyle w:val="Normal"/>
        <w:spacing w:lineRule="auto" w:line="480"/>
        <w:ind w:firstLine="1440" w:end="0"/>
        <w:jc w:val="both"/>
        <w:rPr>
          <w:sz w:val="24"/>
        </w:rPr>
      </w:pPr>
      <w:r>
        <w:rPr>
          <w:sz w:val="24"/>
        </w:rPr>
        <w:t>In summary, ENA has noted some areas in Midwestern’s compliance filing which may not be appropriate or “just and reasonable.”  ENA requests the Commission to call a technical conference to address these areas.  Following such a conference, ENA believes all parties will be better able to assess their positions vis-a-vis Midwestern’s filing.</w:t>
      </w:r>
    </w:p>
    <w:p>
      <w:pPr>
        <w:pStyle w:val="BodyText"/>
        <w:keepNext w:val="true"/>
        <w:tabs>
          <w:tab w:val="clear" w:pos="720"/>
          <w:tab w:val="left" w:pos="1440" w:leader="none"/>
        </w:tabs>
        <w:jc w:val="center"/>
        <w:rPr>
          <w:b/>
          <w:caps/>
        </w:rPr>
      </w:pPr>
      <w:r>
        <w:rPr>
          <w:b/>
          <w:caps/>
        </w:rPr>
        <w:t>III.</w:t>
      </w:r>
    </w:p>
    <w:p>
      <w:pPr>
        <w:pStyle w:val="BodyText"/>
        <w:keepNext w:val="true"/>
        <w:tabs>
          <w:tab w:val="clear" w:pos="720"/>
          <w:tab w:val="left" w:pos="1269" w:leader="none"/>
          <w:tab w:val="left" w:pos="1440" w:leader="none"/>
        </w:tabs>
        <w:jc w:val="center"/>
        <w:rPr>
          <w:b/>
          <w:caps/>
        </w:rPr>
      </w:pPr>
      <w:r>
        <w:rPr>
          <w:b/>
          <w:caps/>
        </w:rPr>
        <w:t>Conclusion</w:t>
      </w:r>
    </w:p>
    <w:p>
      <w:pPr>
        <w:pStyle w:val="BodyText"/>
        <w:keepNext w:val="true"/>
        <w:tabs>
          <w:tab w:val="clear" w:pos="720"/>
          <w:tab w:val="left" w:pos="1440" w:leader="none"/>
        </w:tabs>
        <w:rPr/>
      </w:pPr>
      <w:r>
        <w:rPr>
          <w:caps/>
        </w:rPr>
        <w:tab/>
        <w:t xml:space="preserve">WHEREFORE, </w:t>
      </w:r>
      <w:r>
        <w:rPr/>
        <w:t>in light of the foregoing, ENA respectfully requests that the Commission grant it leave to intervene in this proceeding and call for a technical conference to address the issues raised by Midwestern’s filing and noted in these comments.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r>
      <w:r>
        <w:rPr>
          <w:sz w:val="24"/>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Enron North America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u w:val="single"/>
        </w:rPr>
      </w:pPr>
      <w:r>
        <w:rPr>
          <w:sz w:val="24"/>
        </w:rPr>
        <w:t>Dated:  September 14,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rPr>
          <w:sz w:val="24"/>
          <w:u w:val="single"/>
        </w:rPr>
      </w:pPr>
      <w:r>
        <w:rPr>
          <w:sz w:val="24"/>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u w:val="single"/>
        </w:rPr>
      </w:pPr>
      <w:r>
        <w:rPr>
          <w:sz w:val="24"/>
          <w:u w:val="single"/>
        </w:rPr>
      </w:r>
      <w:r>
        <w:br w:type="page"/>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24"/>
        </w:rPr>
      </w:pPr>
      <w:r>
        <w:rPr>
          <w:sz w:val="24"/>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tab/>
        <w:t>Dated this 14th day of September, 2000.</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sz w:val="24"/>
        </w:rPr>
      </w:pPr>
      <w:r>
        <w:rPr>
          <w:sz w:val="24"/>
        </w:rPr>
      </w:r>
    </w:p>
    <w:p>
      <w:pPr>
        <w:pStyle w:val="Normal"/>
        <w:tabs>
          <w:tab w:val="clear" w:pos="720"/>
          <w:tab w:val="left" w:pos="1440" w:leader="none"/>
          <w:tab w:val="left" w:pos="3600" w:leader="none"/>
          <w:tab w:val="left" w:pos="4320" w:leader="none"/>
          <w:tab w:val="left" w:pos="5040" w:leader="none"/>
          <w:tab w:val="left" w:pos="5856" w:leader="none"/>
        </w:tabs>
        <w:jc w:val="both"/>
        <w:rPr>
          <w:sz w:val="24"/>
        </w:rPr>
      </w:pPr>
      <w:r>
        <w:rPr>
          <w:sz w:val="24"/>
        </w:rPr>
      </w:r>
    </w:p>
    <w:p>
      <w:pPr>
        <w:pStyle w:val="BodyText"/>
        <w:jc w:val="center"/>
        <w:rPr/>
      </w:pPr>
      <w:r>
        <w:rPr/>
        <w:tab/>
        <w:tab/>
        <w:tab/>
        <w:tab/>
        <w:t>Leslie J. Lawner</w:t>
      </w:r>
    </w:p>
    <w:p>
      <w:pPr>
        <w:pStyle w:val="Normal"/>
        <w:spacing w:lineRule="auto" w:line="480"/>
        <w:ind w:firstLine="1440" w:end="0"/>
        <w:jc w:val="both"/>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Regulation of Short-Term Natural Gas Transportation Services and Regulation of Interstate Natural Gas Transportation Services</w:t>
      </w:r>
      <w:r>
        <w:rPr/>
        <w:t xml:space="preserve">, 63 Fed Reg. 10156 (Feb. 25, 2000), III F.E.R.C. Stats. &amp; Regs. ¶ 31,091 (2000) (Order No. 637), </w:t>
      </w:r>
      <w:r>
        <w:rPr>
          <w:i/>
        </w:rPr>
        <w:t>order on reh’g</w:t>
      </w:r>
      <w:r>
        <w:rPr/>
        <w:t xml:space="preserve">, 91 F.E.R.C. ¶ 61,169 (2000) (Order No. 637-A), </w:t>
      </w:r>
      <w:r>
        <w:rPr>
          <w:i/>
        </w:rPr>
        <w:t>order denying reh’g</w:t>
      </w:r>
      <w:r>
        <w:rPr/>
        <w:t>, 92 F.E.R.C. ¶ 61,062 (2000) (Order No. 637-B).</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1440" w:leader="none"/>
        <w:tab w:val="left" w:pos="3600" w:leader="none"/>
        <w:tab w:val="left" w:pos="4320" w:leader="none"/>
        <w:tab w:val="left" w:pos="5040" w:leader="none"/>
        <w:tab w:val="left" w:pos="5856" w:leader="none"/>
      </w:tabs>
      <w:spacing w:lineRule="auto" w:line="480"/>
      <w:jc w:val="center"/>
      <w:outlineLvl w:val="2"/>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2000-09-13T15:38:00Z</dcterms:created>
  <dc:creator>bcantre</dc:creator>
  <dc:description/>
  <dc:language>en-CA</dc:language>
  <cp:lastModifiedBy>bcantre</cp:lastModifiedBy>
  <cp:lastPrinted>2000-09-13T14:11:00Z</cp:lastPrinted>
  <dcterms:modified xsi:type="dcterms:W3CDTF">2000-09-13T16:41:00Z</dcterms:modified>
  <cp:revision>6</cp:revision>
  <dc:subject/>
  <dc:title>On August 15, 2000, Tennessee filed pro forma tariff sheets in complaince with Commission Order No</dc:title>
</cp:coreProperties>
</file>